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A7" w:rsidRDefault="00F148A7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before="9" w:after="9" w:line="240" w:lineRule="exact"/>
        <w:rPr>
          <w:sz w:val="19"/>
          <w:szCs w:val="19"/>
        </w:rPr>
      </w:pPr>
    </w:p>
    <w:p w:rsidR="00F148A7" w:rsidRDefault="00F148A7">
      <w:pPr>
        <w:rPr>
          <w:sz w:val="2"/>
          <w:szCs w:val="2"/>
        </w:rPr>
        <w:sectPr w:rsidR="00F148A7">
          <w:pgSz w:w="11900" w:h="16840"/>
          <w:pgMar w:top="368" w:right="0" w:bottom="187" w:left="0" w:header="0" w:footer="3" w:gutter="0"/>
          <w:cols w:space="720"/>
          <w:noEndnote/>
          <w:docGrid w:linePitch="360"/>
        </w:sectPr>
      </w:pPr>
    </w:p>
    <w:p w:rsidR="00F148A7" w:rsidRDefault="00AD1D7F">
      <w:pPr>
        <w:pStyle w:val="10"/>
        <w:keepNext/>
        <w:keepLines/>
        <w:shd w:val="clear" w:color="auto" w:fill="auto"/>
        <w:spacing w:after="332"/>
        <w:ind w:left="3000"/>
      </w:pPr>
      <w:bookmarkStart w:id="1" w:name="bookmark0"/>
      <w:r>
        <w:lastRenderedPageBreak/>
        <w:t>ТЕКСТОВАЯ ЧАСТЬ ДОКЛАДА</w:t>
      </w:r>
      <w:bookmarkEnd w:id="1"/>
    </w:p>
    <w:p w:rsidR="00F148A7" w:rsidRDefault="00AD1D7F">
      <w:pPr>
        <w:pStyle w:val="10"/>
        <w:keepNext/>
        <w:keepLines/>
        <w:shd w:val="clear" w:color="auto" w:fill="auto"/>
        <w:spacing w:after="0" w:line="321" w:lineRule="exact"/>
        <w:jc w:val="center"/>
      </w:pPr>
      <w:bookmarkStart w:id="2" w:name="bookmark1"/>
      <w:r>
        <w:t>главы Вышневолоцкого городского округа Тверской области</w:t>
      </w:r>
      <w:r>
        <w:br/>
        <w:t>Рощиной Натальи Петровны</w:t>
      </w:r>
      <w:bookmarkEnd w:id="2"/>
    </w:p>
    <w:p w:rsidR="00F148A7" w:rsidRDefault="00AD1D7F">
      <w:pPr>
        <w:pStyle w:val="20"/>
        <w:shd w:val="clear" w:color="auto" w:fill="auto"/>
        <w:spacing w:after="4248"/>
        <w:ind w:firstLine="0"/>
      </w:pPr>
      <w:r>
        <w:t>о достигнутых значениях показателей для оценки эффективности деятельности</w:t>
      </w:r>
      <w:r>
        <w:br/>
        <w:t xml:space="preserve">органов местного самоуправления </w:t>
      </w:r>
      <w:r>
        <w:t>муниципального образования Вышневолоцкий</w:t>
      </w:r>
      <w:r>
        <w:br/>
        <w:t>городской округ Тверской области за 2020 год</w:t>
      </w:r>
    </w:p>
    <w:p w:rsidR="00F148A7" w:rsidRDefault="003449E6">
      <w:pPr>
        <w:framePr w:h="1641" w:hSpace="2311" w:wrap="notBeside" w:vAnchor="text" w:hAnchor="text" w:x="302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05100" cy="1038225"/>
            <wp:effectExtent l="0" t="0" r="0" b="9525"/>
            <wp:docPr id="1" name="Рисунок 1" descr="C:\Users\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A7" w:rsidRDefault="00F148A7">
      <w:pPr>
        <w:rPr>
          <w:sz w:val="2"/>
          <w:szCs w:val="2"/>
        </w:rPr>
      </w:pPr>
    </w:p>
    <w:p w:rsidR="00F148A7" w:rsidRDefault="00AD1D7F">
      <w:pPr>
        <w:pStyle w:val="20"/>
        <w:shd w:val="clear" w:color="auto" w:fill="auto"/>
        <w:spacing w:before="728" w:after="0" w:line="310" w:lineRule="exact"/>
        <w:ind w:left="4260" w:firstLine="0"/>
        <w:jc w:val="left"/>
      </w:pPr>
      <w:r>
        <w:t>13 августа 2021</w:t>
      </w:r>
    </w:p>
    <w:p w:rsidR="00F148A7" w:rsidRDefault="00AD1D7F">
      <w:pPr>
        <w:pStyle w:val="20"/>
        <w:shd w:val="clear" w:color="auto" w:fill="auto"/>
        <w:spacing w:after="89" w:line="322" w:lineRule="exact"/>
        <w:ind w:firstLine="800"/>
        <w:jc w:val="both"/>
      </w:pPr>
      <w:r>
        <w:t xml:space="preserve">Во исполнение подпунктов </w:t>
      </w:r>
      <w:r>
        <w:t xml:space="preserve">«а» и «б» п.2 распоряжения Правительства Тверской области от 29 апреля 2013 № 201-рп «Об оценке эффективности деятельности органов местного самоуправления городских округов и муниципальных районов Тверской области» Администрацией Вышневолоцкого городского </w:t>
      </w:r>
      <w:r>
        <w:t>округа проанализированы достигнутые значения показателей для оценки эффективности деятельности органов местного самоуправления муниципального образования Вышневолоцкий городской округ Тверской области за 2020 год.</w:t>
      </w:r>
    </w:p>
    <w:p w:rsidR="00F148A7" w:rsidRDefault="00AD1D7F">
      <w:pPr>
        <w:pStyle w:val="20"/>
        <w:shd w:val="clear" w:color="auto" w:fill="auto"/>
        <w:spacing w:after="71" w:line="310" w:lineRule="exact"/>
        <w:ind w:right="60" w:firstLine="0"/>
      </w:pPr>
      <w:r>
        <w:lastRenderedPageBreak/>
        <w:t>Экономическое развитие</w:t>
      </w:r>
    </w:p>
    <w:p w:rsidR="00F148A7" w:rsidRDefault="00AD1D7F">
      <w:pPr>
        <w:pStyle w:val="20"/>
        <w:shd w:val="clear" w:color="auto" w:fill="auto"/>
        <w:spacing w:after="0" w:line="322" w:lineRule="exact"/>
        <w:ind w:firstLine="640"/>
        <w:jc w:val="both"/>
      </w:pPr>
      <w:r>
        <w:t>Число субъектов мал</w:t>
      </w:r>
      <w:r>
        <w:t>ого и среднего предпринимательства на территории муниципального образования в 2020 году составило 1643 единицы, в том числе:</w:t>
      </w:r>
    </w:p>
    <w:p w:rsidR="00F148A7" w:rsidRDefault="00AD1D7F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2" w:lineRule="exact"/>
        <w:ind w:firstLine="0"/>
        <w:jc w:val="both"/>
      </w:pPr>
      <w:r>
        <w:t>юридических лиц - 420;</w:t>
      </w:r>
    </w:p>
    <w:p w:rsidR="00F148A7" w:rsidRDefault="00AD1D7F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2" w:lineRule="exact"/>
        <w:ind w:firstLine="0"/>
        <w:jc w:val="both"/>
      </w:pPr>
      <w:r>
        <w:t>индивидуальных предпринимателей - 1223.</w:t>
      </w:r>
    </w:p>
    <w:p w:rsidR="00F148A7" w:rsidRDefault="00AD1D7F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Вновь зарегистрировано субъектов малого и среднего </w:t>
      </w:r>
      <w:r>
        <w:t>предпринимательства - 216, в то*м числе:</w:t>
      </w:r>
    </w:p>
    <w:p w:rsidR="00F148A7" w:rsidRDefault="00AD1D7F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2" w:lineRule="exact"/>
        <w:ind w:firstLine="0"/>
        <w:jc w:val="both"/>
      </w:pPr>
      <w:r>
        <w:t>юридических лиц - 28;</w:t>
      </w:r>
    </w:p>
    <w:p w:rsidR="00F148A7" w:rsidRDefault="00AD1D7F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2" w:lineRule="exact"/>
        <w:ind w:firstLine="0"/>
        <w:jc w:val="both"/>
      </w:pPr>
      <w:r>
        <w:t>индивидуальных предпринимателей -188.</w:t>
      </w:r>
    </w:p>
    <w:p w:rsidR="00F148A7" w:rsidRDefault="00AD1D7F">
      <w:pPr>
        <w:pStyle w:val="20"/>
        <w:shd w:val="clear" w:color="auto" w:fill="auto"/>
        <w:tabs>
          <w:tab w:val="left" w:pos="1673"/>
          <w:tab w:val="left" w:pos="3002"/>
          <w:tab w:val="left" w:pos="4685"/>
        </w:tabs>
        <w:spacing w:after="0" w:line="322" w:lineRule="exact"/>
        <w:ind w:firstLine="640"/>
        <w:jc w:val="both"/>
      </w:pPr>
      <w:r>
        <w:t>Создание благоприятной среды для развития малого и среднего предпринимательства, совершенствование инфраструктуры поддержки малого и среднего предпринимате</w:t>
      </w:r>
      <w:r>
        <w:t>льства осуществлялось в рамках реализации подпрограммы «Поддержка развития субъектов малого и среднего предпринимательства на территории Вышневолоцкого городского округа Тверского</w:t>
      </w:r>
      <w:r>
        <w:tab/>
        <w:t>области»,</w:t>
      </w:r>
      <w:r>
        <w:tab/>
        <w:t>входящей</w:t>
      </w:r>
      <w:r>
        <w:tab/>
        <w:t>в состав муниципальной программы</w:t>
      </w:r>
    </w:p>
    <w:p w:rsidR="00F148A7" w:rsidRDefault="00AD1D7F">
      <w:pPr>
        <w:pStyle w:val="20"/>
        <w:shd w:val="clear" w:color="auto" w:fill="auto"/>
        <w:spacing w:after="0" w:line="322" w:lineRule="exact"/>
        <w:ind w:firstLine="0"/>
        <w:jc w:val="both"/>
      </w:pPr>
      <w:r>
        <w:t>муниципального образован</w:t>
      </w:r>
      <w:r>
        <w:t>ия Вышневолоцкий городской округ Тверской области «Экономическое развитие Вышневолоцкого городского округа Тверской области на 2020 - 2025 годы». Мероприятия подпрограммы были направлены на поддержку, как начинающих предпринимателей, так и представителей м</w:t>
      </w:r>
      <w:r>
        <w:t>алого бизнеса, испытывающих трудности.</w:t>
      </w:r>
    </w:p>
    <w:p w:rsidR="00F148A7" w:rsidRDefault="00AD1D7F">
      <w:pPr>
        <w:pStyle w:val="20"/>
        <w:shd w:val="clear" w:color="auto" w:fill="auto"/>
        <w:spacing w:after="0" w:line="322" w:lineRule="exact"/>
        <w:ind w:firstLine="640"/>
        <w:jc w:val="both"/>
      </w:pPr>
      <w:r>
        <w:t>Доля среднесписочной численности работников малых и средних предприятий в среднесписочной численности работников всех предприятий составила 19,9 %.</w:t>
      </w:r>
    </w:p>
    <w:p w:rsidR="00F148A7" w:rsidRDefault="00AD1D7F">
      <w:pPr>
        <w:pStyle w:val="20"/>
        <w:shd w:val="clear" w:color="auto" w:fill="auto"/>
        <w:tabs>
          <w:tab w:val="left" w:pos="1673"/>
          <w:tab w:val="left" w:pos="3002"/>
          <w:tab w:val="left" w:pos="8602"/>
        </w:tabs>
        <w:spacing w:after="0" w:line="322" w:lineRule="exact"/>
        <w:ind w:firstLine="800"/>
        <w:jc w:val="both"/>
      </w:pPr>
      <w:r>
        <w:t>В целях улучшения инвестиционной привлекательности Вышневолоцкого гор</w:t>
      </w:r>
      <w:r>
        <w:t>одского</w:t>
      </w:r>
      <w:r>
        <w:tab/>
        <w:t>округа,</w:t>
      </w:r>
      <w:r>
        <w:tab/>
        <w:t>обеспечения гармоничного развития</w:t>
      </w:r>
      <w:r>
        <w:tab/>
        <w:t>территорий</w:t>
      </w:r>
    </w:p>
    <w:p w:rsidR="00F148A7" w:rsidRDefault="00AD1D7F">
      <w:pPr>
        <w:pStyle w:val="20"/>
        <w:shd w:val="clear" w:color="auto" w:fill="auto"/>
        <w:spacing w:after="0" w:line="322" w:lineRule="exact"/>
        <w:ind w:firstLine="0"/>
        <w:jc w:val="both"/>
      </w:pPr>
      <w:r>
        <w:t>муниципального образования, привлечения внутренних и внешних инвестиций для оздоровления отраслей экономики на протяжении последних лет проводится целенаправленная работа. Для привлечения инвести</w:t>
      </w:r>
      <w:r>
        <w:t>ций на территорию городского округа сформированы производственные площадки и земельные участки под размещение производственных объектов.</w:t>
      </w:r>
    </w:p>
    <w:p w:rsidR="00F148A7" w:rsidRDefault="00AD1D7F">
      <w:pPr>
        <w:pStyle w:val="20"/>
        <w:shd w:val="clear" w:color="auto" w:fill="auto"/>
        <w:spacing w:after="0" w:line="322" w:lineRule="exact"/>
        <w:ind w:firstLine="800"/>
        <w:jc w:val="both"/>
      </w:pPr>
      <w:r>
        <w:t>Благоприятному развитию инвестиционной деятельности способствовала разработка и утверждение Схем территориального плани</w:t>
      </w:r>
      <w:r>
        <w:t>рования сельских территорий, Правил землепользования и застройки Вышневолоцкого городского округа, активизация работы по поиску и формированию в качестве инвестиционных площадок неэффективно используемых земельных участков, взаимодействие с органами госуда</w:t>
      </w:r>
      <w:r>
        <w:t>рственной власти в целях максимального содействия инвесторам в реализации инвестиционных намерений.</w:t>
      </w:r>
    </w:p>
    <w:p w:rsidR="00F148A7" w:rsidRDefault="00AD1D7F">
      <w:pPr>
        <w:pStyle w:val="20"/>
        <w:shd w:val="clear" w:color="auto" w:fill="auto"/>
        <w:spacing w:after="0" w:line="322" w:lineRule="exact"/>
        <w:ind w:firstLine="800"/>
        <w:jc w:val="both"/>
      </w:pPr>
      <w:r>
        <w:t>За 2020 год объем инвестиций в основной капитал (за исключением бюджетных средств) в расчете на одного жителя составил 16302 рубля.</w:t>
      </w:r>
    </w:p>
    <w:p w:rsidR="00F148A7" w:rsidRDefault="00AD1D7F">
      <w:pPr>
        <w:pStyle w:val="10"/>
        <w:keepNext/>
        <w:keepLines/>
        <w:shd w:val="clear" w:color="auto" w:fill="auto"/>
        <w:spacing w:after="136"/>
        <w:jc w:val="center"/>
      </w:pPr>
      <w:bookmarkStart w:id="3" w:name="bookmark2"/>
      <w:r>
        <w:t>Сельское хозяйство</w:t>
      </w:r>
      <w:bookmarkEnd w:id="3"/>
    </w:p>
    <w:p w:rsidR="00F148A7" w:rsidRDefault="00AD1D7F">
      <w:pPr>
        <w:pStyle w:val="20"/>
        <w:shd w:val="clear" w:color="auto" w:fill="auto"/>
        <w:spacing w:after="0" w:line="315" w:lineRule="exact"/>
        <w:ind w:firstLine="740"/>
        <w:jc w:val="both"/>
      </w:pPr>
      <w:r>
        <w:t xml:space="preserve">На </w:t>
      </w:r>
      <w:r>
        <w:t>территории Вышневолоцкого городского округа в составе агропромышленного комплекса работает 3 сельскохозяйственных предприятия, (ООО СПК Юбилейный», ООО «Заря», ООО «Колхоз Свобода») и 13 крестьянско- фермерских хозяйств, которые специализируются на произво</w:t>
      </w:r>
      <w:r>
        <w:t>дстве молока, мяса, картофеля и овощей.</w:t>
      </w:r>
    </w:p>
    <w:p w:rsidR="00F148A7" w:rsidRDefault="00AD1D7F">
      <w:pPr>
        <w:pStyle w:val="20"/>
        <w:shd w:val="clear" w:color="auto" w:fill="auto"/>
        <w:spacing w:after="144" w:line="315" w:lineRule="exact"/>
        <w:ind w:firstLine="740"/>
        <w:jc w:val="both"/>
      </w:pPr>
      <w:r>
        <w:t>Доля прибыльных сельскохозяйственных организаций по итогам хозяйственной деятельности 2020 года составила 100 %.</w:t>
      </w:r>
    </w:p>
    <w:p w:rsidR="00F148A7" w:rsidRDefault="00AD1D7F">
      <w:pPr>
        <w:pStyle w:val="10"/>
        <w:keepNext/>
        <w:keepLines/>
        <w:shd w:val="clear" w:color="auto" w:fill="auto"/>
        <w:spacing w:after="133"/>
        <w:jc w:val="center"/>
      </w:pPr>
      <w:bookmarkStart w:id="4" w:name="bookmark3"/>
      <w:r>
        <w:t>Дорожное хозяйство</w:t>
      </w:r>
      <w:bookmarkEnd w:id="4"/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В числе главных задач - обеспечение высокого уровня ремонта и содержания дорог.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lastRenderedPageBreak/>
        <w:t>Пост</w:t>
      </w:r>
      <w:r>
        <w:t>ановлением Администрации Вышневолоцкого городского округа от 31.07.2020 №305 утвержден Перечень автомобильных дорог общего пользования местного значения на территории муниципального образования Вышневолоцкий городской округ Тверской области общей протяженн</w:t>
      </w:r>
      <w:r>
        <w:t>остью 618,5 км, из них с асфальтобетонным покрытием 137,5 км.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Объем бюджетных ассигнований в 2020 год на ремонт 3,65.4 км асфальтового покрытия проезжих частей дорог местного значения в рамках муниципальной программы « Формирования современной городской ср</w:t>
      </w:r>
      <w:r>
        <w:t>еды на 2020-2025 года» муниципального образования Вышневолоцкого городского округа составил 69 476,04 тыс. руб. Данные средства были выделены из местного и областного бюджетов.</w:t>
      </w:r>
    </w:p>
    <w:p w:rsidR="00F148A7" w:rsidRDefault="00AD1D7F">
      <w:pPr>
        <w:pStyle w:val="30"/>
        <w:shd w:val="clear" w:color="auto" w:fill="auto"/>
        <w:spacing w:after="133"/>
        <w:ind w:left="1560"/>
      </w:pPr>
      <w:r>
        <w:t>Среднемесячная начисленная заработная плата работников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600"/>
        <w:jc w:val="left"/>
      </w:pPr>
      <w:r>
        <w:t>Одним из показателей эко</w:t>
      </w:r>
      <w:r>
        <w:t>номического развития Вышневолоцкого городского округа является рост заработной платы.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Среднемесячная начисленная заработная плата крупных и средних предприятий в 2020 году составила 30902,4 руб. Наиболее высокая заработная плата в обрабатывающем производст</w:t>
      </w:r>
      <w:r>
        <w:t>ве по отрасли «Производство компьютеров, электронных и оптических изделий» - 42857 руб.</w:t>
      </w:r>
    </w:p>
    <w:p w:rsidR="00F148A7" w:rsidRDefault="00AD1D7F">
      <w:pPr>
        <w:pStyle w:val="20"/>
        <w:shd w:val="clear" w:color="auto" w:fill="auto"/>
        <w:spacing w:after="148" w:line="319" w:lineRule="exact"/>
        <w:ind w:firstLine="740"/>
        <w:jc w:val="both"/>
      </w:pPr>
      <w:r>
        <w:t>В системе образования заработная плата учителей муниципальных образовательных учреждений в 2020 году составила 29696,1 руб.</w:t>
      </w:r>
    </w:p>
    <w:p w:rsidR="00F148A7" w:rsidRDefault="00AD1D7F">
      <w:pPr>
        <w:pStyle w:val="10"/>
        <w:keepNext/>
        <w:keepLines/>
        <w:shd w:val="clear" w:color="auto" w:fill="auto"/>
        <w:spacing w:after="133"/>
        <w:jc w:val="center"/>
      </w:pPr>
      <w:bookmarkStart w:id="5" w:name="bookmark4"/>
      <w:r>
        <w:t>Образование</w:t>
      </w:r>
      <w:bookmarkEnd w:id="5"/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Качество обучения и воспитания в</w:t>
      </w:r>
      <w:r>
        <w:t xml:space="preserve"> образовательной сфере Вышневолоцкого городского округа обеспечивается модернизацией материально-технической базы, обновлением содержания и технологий образования, переподготовкой педагогических кадров, оптимизацией и эффективным использованием имеющихся р</w:t>
      </w:r>
      <w:r>
        <w:t>есурсов в соответствии с муниципальной программой «Развитие образования Вышневолоцкого городского округа на 2020-2025 годы».</w:t>
      </w:r>
    </w:p>
    <w:p w:rsidR="00F148A7" w:rsidRDefault="00AD1D7F">
      <w:pPr>
        <w:pStyle w:val="20"/>
        <w:shd w:val="clear" w:color="auto" w:fill="auto"/>
        <w:spacing w:after="136" w:line="319" w:lineRule="exact"/>
        <w:ind w:firstLine="600"/>
        <w:jc w:val="left"/>
      </w:pPr>
      <w:r>
        <w:t>Одной из ведущих целей муниципальной системы образования является реализация национального проекта «Образование».</w:t>
      </w:r>
    </w:p>
    <w:p w:rsidR="00F148A7" w:rsidRDefault="00AD1D7F">
      <w:pPr>
        <w:pStyle w:val="20"/>
        <w:shd w:val="clear" w:color="auto" w:fill="auto"/>
        <w:spacing w:after="0" w:line="324" w:lineRule="exact"/>
        <w:ind w:firstLine="600"/>
        <w:jc w:val="left"/>
      </w:pPr>
      <w:r>
        <w:t>Одним из важнейши</w:t>
      </w:r>
      <w:r>
        <w:t xml:space="preserve">х направлений реализации проекта </w:t>
      </w:r>
      <w:r>
        <w:rPr>
          <w:rStyle w:val="21"/>
        </w:rPr>
        <w:t xml:space="preserve">«Современная школа» </w:t>
      </w:r>
      <w:r>
        <w:t>является повышение качества образования.</w:t>
      </w:r>
    </w:p>
    <w:p w:rsidR="00F148A7" w:rsidRDefault="00AD1D7F">
      <w:pPr>
        <w:pStyle w:val="20"/>
        <w:shd w:val="clear" w:color="auto" w:fill="auto"/>
        <w:spacing w:after="0" w:line="324" w:lineRule="exact"/>
        <w:ind w:firstLine="740"/>
        <w:jc w:val="both"/>
      </w:pPr>
      <w:r>
        <w:t xml:space="preserve">В 2020 году итоговую аттестацию в форме ЕГЭ проходили все 285 выпускников общеобразовательных организаций Вышневолоцкого городского округа. Все выпускники 11(12) классов были допущены к ГИА и получили аттестаты о среднем общем образовании. 63% выпускников </w:t>
      </w:r>
      <w:r>
        <w:t xml:space="preserve">поступили в высшие учебные заведения. 34 выпускника подтвердили свое звание «Золотой медалист», они получили аттестат особого образца и медаль «За особые успехи в учении». 27 выпускников 2020 года поступили в ТОП-100 лучших ВУЗов России по версии </w:t>
      </w:r>
      <w:r>
        <w:rPr>
          <w:lang w:val="en-US" w:eastAsia="en-US" w:bidi="en-US"/>
        </w:rPr>
        <w:t>RAEX</w:t>
      </w:r>
      <w:r w:rsidRPr="003449E6">
        <w:rPr>
          <w:lang w:eastAsia="en-US" w:bidi="en-US"/>
        </w:rPr>
        <w:t>.</w:t>
      </w:r>
    </w:p>
    <w:p w:rsidR="00F148A7" w:rsidRDefault="00AD1D7F">
      <w:pPr>
        <w:pStyle w:val="20"/>
        <w:shd w:val="clear" w:color="auto" w:fill="auto"/>
        <w:tabs>
          <w:tab w:val="left" w:pos="2811"/>
          <w:tab w:val="left" w:pos="8343"/>
        </w:tabs>
        <w:spacing w:after="0" w:line="321" w:lineRule="exact"/>
        <w:ind w:firstLine="780"/>
        <w:jc w:val="both"/>
      </w:pPr>
      <w:r>
        <w:t>В р</w:t>
      </w:r>
      <w:r>
        <w:t>амках проекта «Современная школа» в двух общеобразовательных организациях (МБОУ СОШ №12 и МБОУ «Зеленогорская СОШ») для реализации основных и дополнительных общеобразовательных программ цифрового, естественнонаучного и гуманитарного профилей созданы центры</w:t>
      </w:r>
      <w:r>
        <w:t xml:space="preserve"> «Точка Роста». Обучающиеся получили возможность осваивать образовательные программы с использованием современного компьютерного, демонстрационного оборудования, оборудованием для занятия шахматами, высокотехнологичного учебного оборудования по</w:t>
      </w:r>
      <w:r>
        <w:tab/>
        <w:t>предметам "</w:t>
      </w:r>
      <w:r>
        <w:t>Технология", "Основы</w:t>
      </w:r>
      <w:r>
        <w:tab/>
        <w:t>безопасности</w:t>
      </w:r>
    </w:p>
    <w:p w:rsidR="00F148A7" w:rsidRDefault="00AD1D7F">
      <w:pPr>
        <w:pStyle w:val="20"/>
        <w:shd w:val="clear" w:color="auto" w:fill="auto"/>
        <w:tabs>
          <w:tab w:val="left" w:pos="2811"/>
        </w:tabs>
        <w:spacing w:after="0" w:line="321" w:lineRule="exact"/>
        <w:ind w:firstLine="0"/>
        <w:jc w:val="both"/>
      </w:pPr>
      <w:r>
        <w:t>жизнедеятельности",</w:t>
      </w:r>
      <w:r>
        <w:tab/>
        <w:t>"Информатика", начали работу новые творческие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0"/>
        <w:jc w:val="both"/>
      </w:pPr>
      <w:r>
        <w:t xml:space="preserve">объединения дополнительного образования. Для проведения ремонтных работ по подготовке, помещений этих организаций и приобретения мебели из местного </w:t>
      </w:r>
      <w:r>
        <w:lastRenderedPageBreak/>
        <w:t xml:space="preserve">бюджета </w:t>
      </w:r>
      <w:r>
        <w:t>выделено более 1,7 млн. рублей.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780"/>
        <w:jc w:val="both"/>
      </w:pPr>
      <w:r>
        <w:t>Новые требования, предъявляемые к современной системе образования, предполагают постоянное совершенствование инфраструктуры. В 2020 году на подготовку муниципальных образовательных организаций к началу нового учебного года н</w:t>
      </w:r>
      <w:r>
        <w:t>аправлено 39730,01 тыс. руб., в том числе выделено из областного бюджета 28857,90 тыс. руб., из местного бюджета - 10872,11 тыс. руб.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780"/>
        <w:jc w:val="both"/>
      </w:pPr>
      <w:r>
        <w:t>Одиннадцать учреждений приняли участие в конкурсе, проводимым Министерством образования Тверской области, на укрепление ма</w:t>
      </w:r>
      <w:r>
        <w:t>териально- технической базы муниципальных образовательных организаций.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780"/>
        <w:jc w:val="both"/>
      </w:pPr>
      <w:r>
        <w:t>Все образовательные организации соответствуют современным требованиям.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780"/>
        <w:jc w:val="both"/>
      </w:pPr>
      <w:r>
        <w:t>В общеобразовательных организациях Вышневолоцкого городского округа „нет обучающихся в 3-ю смену. Во 2 смену обуча</w:t>
      </w:r>
      <w:r>
        <w:t>ются 3,9% обучающихся.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780"/>
        <w:jc w:val="both"/>
      </w:pPr>
      <w:r>
        <w:t xml:space="preserve">Одним из важных проектов, реализуемых на муниципальном уровне, является </w:t>
      </w:r>
      <w:r>
        <w:rPr>
          <w:rStyle w:val="21"/>
        </w:rPr>
        <w:t>проект «Успех каждого ребенка».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620"/>
        <w:jc w:val="both"/>
      </w:pPr>
      <w:r>
        <w:t>В рамках национального проекта доля детей в возрасте от 5 до 18 лет, охваченных дополнительным образованием в 2020 составила 76 %</w:t>
      </w:r>
      <w:r>
        <w:t>.</w:t>
      </w:r>
    </w:p>
    <w:p w:rsidR="00F148A7" w:rsidRDefault="00AD1D7F">
      <w:pPr>
        <w:pStyle w:val="20"/>
        <w:shd w:val="clear" w:color="auto" w:fill="auto"/>
        <w:tabs>
          <w:tab w:val="left" w:pos="7248"/>
        </w:tabs>
        <w:spacing w:after="0" w:line="321" w:lineRule="exact"/>
        <w:ind w:firstLine="780"/>
        <w:jc w:val="both"/>
      </w:pPr>
      <w:r>
        <w:t>В рамках реализации проекта "Успех каждого ребенка" на базе двух общеобразовательных организаций созданы новые места дополнительного образования детей и начали работу творческие объединения по двум направленностям: естественнонаучное в Лицее №15</w:t>
      </w:r>
      <w:r>
        <w:tab/>
        <w:t>(72 обуч</w:t>
      </w:r>
      <w:r>
        <w:t>ающихся) и</w:t>
      </w:r>
    </w:p>
    <w:p w:rsidR="00F148A7" w:rsidRDefault="00AD1D7F">
      <w:pPr>
        <w:pStyle w:val="20"/>
        <w:shd w:val="clear" w:color="auto" w:fill="auto"/>
        <w:spacing w:after="161" w:line="321" w:lineRule="exact"/>
        <w:ind w:firstLine="0"/>
        <w:jc w:val="both"/>
      </w:pPr>
      <w:r>
        <w:t>художественное в МБОУ "Зеленогорская СОШ» (45 обучающихся).</w:t>
      </w:r>
    </w:p>
    <w:p w:rsidR="00F148A7" w:rsidRDefault="00AD1D7F">
      <w:pPr>
        <w:pStyle w:val="30"/>
        <w:shd w:val="clear" w:color="auto" w:fill="auto"/>
        <w:spacing w:after="0" w:line="344" w:lineRule="exact"/>
        <w:ind w:firstLine="780"/>
        <w:jc w:val="both"/>
      </w:pPr>
      <w:r>
        <w:t xml:space="preserve">В рамках проекта «Учитель будущего» </w:t>
      </w:r>
      <w:r>
        <w:rPr>
          <w:rStyle w:val="31"/>
        </w:rPr>
        <w:t>предусмотрено:</w:t>
      </w:r>
    </w:p>
    <w:p w:rsidR="00F148A7" w:rsidRDefault="00AD1D7F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44" w:lineRule="exact"/>
        <w:ind w:left="1220" w:firstLine="0"/>
        <w:jc w:val="left"/>
      </w:pPr>
      <w:r>
        <w:t>проведение аттестации руководителей образовательных организаций,</w:t>
      </w:r>
    </w:p>
    <w:p w:rsidR="00F148A7" w:rsidRDefault="00AD1D7F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44" w:lineRule="exact"/>
        <w:ind w:left="1220" w:firstLine="0"/>
        <w:jc w:val="left"/>
      </w:pPr>
      <w:r>
        <w:t>повышение квалификации педагогических кадров в формате</w:t>
      </w:r>
    </w:p>
    <w:p w:rsidR="00F148A7" w:rsidRDefault="00AD1D7F">
      <w:pPr>
        <w:pStyle w:val="20"/>
        <w:shd w:val="clear" w:color="auto" w:fill="auto"/>
        <w:spacing w:after="0" w:line="310" w:lineRule="exact"/>
        <w:ind w:left="1560" w:firstLine="0"/>
        <w:jc w:val="left"/>
      </w:pPr>
      <w:r>
        <w:t xml:space="preserve">непрерывного </w:t>
      </w:r>
      <w:r>
        <w:t>образования,</w:t>
      </w:r>
    </w:p>
    <w:p w:rsidR="00F148A7" w:rsidRDefault="00AD1D7F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10" w:lineRule="exact"/>
        <w:ind w:left="1220" w:firstLine="0"/>
        <w:jc w:val="left"/>
      </w:pPr>
      <w:r>
        <w:t>проведение добровольной независимой оценки профессиональной</w:t>
      </w:r>
    </w:p>
    <w:p w:rsidR="00F148A7" w:rsidRDefault="00AD1D7F">
      <w:pPr>
        <w:pStyle w:val="20"/>
        <w:shd w:val="clear" w:color="auto" w:fill="auto"/>
        <w:spacing w:after="0" w:line="310" w:lineRule="exact"/>
        <w:ind w:left="1560" w:firstLine="0"/>
        <w:jc w:val="left"/>
      </w:pPr>
      <w:r>
        <w:t>квалификации педагогов,</w:t>
      </w:r>
    </w:p>
    <w:p w:rsidR="00F148A7" w:rsidRDefault="00AD1D7F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21" w:lineRule="exact"/>
        <w:ind w:left="1220" w:firstLine="0"/>
        <w:jc w:val="left"/>
      </w:pPr>
      <w:r>
        <w:t>вовлечение молодых педагогов в различные формы поддержки и</w:t>
      </w:r>
    </w:p>
    <w:p w:rsidR="00F148A7" w:rsidRDefault="00AD1D7F">
      <w:pPr>
        <w:pStyle w:val="20"/>
        <w:shd w:val="clear" w:color="auto" w:fill="auto"/>
        <w:spacing w:after="0" w:line="321" w:lineRule="exact"/>
        <w:ind w:left="1560" w:firstLine="0"/>
        <w:jc w:val="left"/>
      </w:pPr>
      <w:r>
        <w:t>сопровождения в первые три года работы.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620"/>
        <w:jc w:val="both"/>
      </w:pPr>
      <w:r>
        <w:t>Руководители и педагогические работники образовательных орга</w:t>
      </w:r>
      <w:r>
        <w:t>низаций, реализующие различные проекты в области образования, охвачены вариативной системой повышения квалификации и переподготовкой. Более 40% педагогических работников в 2020 году прошли обучение.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560"/>
        <w:jc w:val="both"/>
      </w:pPr>
      <w:r>
        <w:t xml:space="preserve">Педагоги повышают публикуют свои разработки в </w:t>
      </w:r>
      <w:r>
        <w:t>методических журналах и электронных средствах массовой информации, участвуют в обучающих вебинарах, в различных конкурсах педагогического мастерства.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560"/>
        <w:jc w:val="both"/>
      </w:pPr>
      <w:r>
        <w:t>Среднемесячная заработная плата педагогических работников муниципальных образовательных организаций Вышнев</w:t>
      </w:r>
      <w:r>
        <w:t>олоцкого городского округа соответствует среднемесячному доходу от трудовой деятельности в субъекте Российской Федерации.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rPr>
          <w:rStyle w:val="21"/>
        </w:rPr>
        <w:t xml:space="preserve">Проект «Цифровая образовательная среда» </w:t>
      </w:r>
      <w:r>
        <w:t xml:space="preserve">направлен на создание </w:t>
      </w:r>
      <w:r>
        <w:rPr>
          <w:rStyle w:val="21"/>
        </w:rPr>
        <w:t xml:space="preserve">в </w:t>
      </w:r>
      <w:r>
        <w:t>образовательных организациях современной и безопасной цифровой образов</w:t>
      </w:r>
      <w:r>
        <w:t>ательной среды.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t>В рамках государственного контракта к высокоскоростному интернету в 2020 году подключены ещё семь общеобразовательных организаций Вышневолоцкого городского округа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560"/>
        <w:jc w:val="both"/>
      </w:pPr>
      <w:r>
        <w:t>Общеобразовательными организациями Вышневолоцкого городского округа активно и</w:t>
      </w:r>
      <w:r>
        <w:t>спользуются федеральные цифровые образовательные платформы.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560"/>
        <w:jc w:val="both"/>
      </w:pPr>
      <w:r>
        <w:t>Педагогические работники проходят курсы повышения квалификации информационно-коммуникационным технологиям в рамках ЦОС.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lastRenderedPageBreak/>
        <w:t>В Вышневолоцком городском округе идет обновление системы дошкольного образов</w:t>
      </w:r>
      <w:r>
        <w:t>ания, происходят существенные изменения в ее приоритетах. Задача, поставленная Президентом и Правительством Российской Федерации, о полном обеспечении детей местами в детских садах, выполнена. В 2020 году услугу дошкольного образования получают 70% детей в</w:t>
      </w:r>
      <w:r>
        <w:t xml:space="preserve"> возрасте от 1 года до 6 лет.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t xml:space="preserve">Одним из приоритетных направлений является совершенствование механизмов педагогической поддержки семей с детьми дошкольного возраста, в том числе с детьми младенческого и раннего возраста, посредством компетентности родителей </w:t>
      </w:r>
      <w:r>
        <w:t>в вопросах создания условий для обучения, воспитания и развития детей.</w:t>
      </w:r>
    </w:p>
    <w:p w:rsidR="00F148A7" w:rsidRDefault="00AD1D7F">
      <w:pPr>
        <w:pStyle w:val="20"/>
        <w:shd w:val="clear" w:color="auto" w:fill="auto"/>
        <w:tabs>
          <w:tab w:val="left" w:pos="8730"/>
        </w:tabs>
        <w:spacing w:after="0" w:line="321" w:lineRule="exact"/>
        <w:ind w:left="300" w:firstLine="700"/>
        <w:jc w:val="both"/>
      </w:pPr>
      <w:r>
        <w:t xml:space="preserve">Для решения этой задачи, в рамках реализации федерального </w:t>
      </w:r>
      <w:r>
        <w:rPr>
          <w:rStyle w:val="21"/>
        </w:rPr>
        <w:t xml:space="preserve">проекта «Поддержка семей, имеющих детей», </w:t>
      </w:r>
      <w:r>
        <w:t>в двенадцати</w:t>
      </w:r>
      <w:r>
        <w:tab/>
        <w:t>дошкольных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0"/>
        <w:jc w:val="both"/>
      </w:pPr>
      <w:r>
        <w:t>образовательных организациях Вышневолоцкого городского округа</w:t>
      </w:r>
      <w:r>
        <w:t xml:space="preserve"> созданы консультационные пункты, в которых реализуются различные формы оказания психолого-педагогической помощи родителям.</w:t>
      </w:r>
    </w:p>
    <w:p w:rsidR="00F148A7" w:rsidRDefault="00AD1D7F">
      <w:pPr>
        <w:pStyle w:val="30"/>
        <w:shd w:val="clear" w:color="auto" w:fill="auto"/>
        <w:spacing w:after="0" w:line="321" w:lineRule="exact"/>
        <w:ind w:left="300" w:firstLine="700"/>
        <w:jc w:val="both"/>
      </w:pPr>
      <w:r>
        <w:t xml:space="preserve">В 2020 </w:t>
      </w:r>
      <w:r>
        <w:rPr>
          <w:rStyle w:val="31"/>
        </w:rPr>
        <w:t xml:space="preserve">году продолжалась реализация </w:t>
      </w:r>
      <w:r>
        <w:t>государственной программы «Доступная среда».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t>Особое внимание в дошкольных образовательных органи</w:t>
      </w:r>
      <w:r>
        <w:t>зациях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(ОВЗ).</w:t>
      </w:r>
    </w:p>
    <w:p w:rsidR="00F148A7" w:rsidRDefault="00AD1D7F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t xml:space="preserve">В ДОУ №8, №19, Солнечном детском саду приобретено игровое и дидактическое оборудование, </w:t>
      </w:r>
      <w:r>
        <w:t>созданы многофункциональные «сенсорные комнаты», обеспечивающие реализацию прав детей с особыми образовательными потребностями.</w:t>
      </w:r>
    </w:p>
    <w:p w:rsidR="00F148A7" w:rsidRDefault="00AD1D7F">
      <w:pPr>
        <w:pStyle w:val="20"/>
        <w:shd w:val="clear" w:color="auto" w:fill="auto"/>
        <w:spacing w:after="189" w:line="321" w:lineRule="exact"/>
        <w:ind w:left="300" w:firstLine="700"/>
        <w:jc w:val="both"/>
      </w:pPr>
      <w:r>
        <w:t xml:space="preserve">Созданы особые условия для инклюзивного образования детей-инвалидов и в МБУ ДО СЮН. В рамках программы приобретено специальное </w:t>
      </w:r>
      <w:r>
        <w:t>учебное оборудование и специальное оборудование архитектурной доступности для детей- инвалидов на сумму 776,2 тыс. руб. В помещениях Станции юных натуралистов проведены ремонтные работы на сумму 285,8 тыс. руб.</w:t>
      </w:r>
    </w:p>
    <w:p w:rsidR="00F148A7" w:rsidRDefault="00AD1D7F">
      <w:pPr>
        <w:pStyle w:val="20"/>
        <w:shd w:val="clear" w:color="auto" w:fill="auto"/>
        <w:spacing w:after="0" w:line="310" w:lineRule="exact"/>
        <w:ind w:left="580" w:firstLine="0"/>
        <w:jc w:val="left"/>
      </w:pPr>
      <w:r>
        <w:t xml:space="preserve">Итоги </w:t>
      </w:r>
      <w:r>
        <w:rPr>
          <w:rStyle w:val="21"/>
        </w:rPr>
        <w:t xml:space="preserve">достижений </w:t>
      </w:r>
      <w:r>
        <w:t xml:space="preserve">муниципальной системы </w:t>
      </w:r>
      <w:r>
        <w:t>образования в 2020 году:</w:t>
      </w:r>
    </w:p>
    <w:p w:rsidR="00F148A7" w:rsidRDefault="00AD1D7F">
      <w:pPr>
        <w:pStyle w:val="20"/>
        <w:shd w:val="clear" w:color="auto" w:fill="auto"/>
        <w:spacing w:after="0" w:line="325" w:lineRule="exact"/>
        <w:ind w:left="1380"/>
        <w:jc w:val="left"/>
      </w:pPr>
      <w:r>
        <w:t>• продолжается реализация национальных проектов в муниципальном образовании «Вышневолоцкий городской округ Тверской области»;</w:t>
      </w:r>
    </w:p>
    <w:p w:rsidR="00F148A7" w:rsidRDefault="00AD1D7F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0" w:line="324" w:lineRule="exact"/>
        <w:ind w:left="1120" w:hanging="200"/>
        <w:jc w:val="both"/>
      </w:pPr>
      <w:r>
        <w:t>на высоком организационном уровне проводится государственная итоговая аттестация выпускников общеобразова</w:t>
      </w:r>
      <w:r>
        <w:t>тельных организаций;</w:t>
      </w:r>
    </w:p>
    <w:p w:rsidR="00F148A7" w:rsidRDefault="00AD1D7F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0" w:line="324" w:lineRule="exact"/>
        <w:ind w:left="1120" w:hanging="200"/>
        <w:jc w:val="both"/>
      </w:pPr>
      <w:r>
        <w:t>решена проблема предоставления мест в дошкольных образовательных организациях, в том числе для детей до одного года;</w:t>
      </w:r>
    </w:p>
    <w:p w:rsidR="00F148A7" w:rsidRDefault="00AD1D7F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0" w:line="324" w:lineRule="exact"/>
        <w:ind w:left="1120" w:hanging="200"/>
        <w:jc w:val="both"/>
      </w:pPr>
      <w:r>
        <w:t>в образовательных организациях уделяется внимание созданию условий для полноценного включения в образовательное простр</w:t>
      </w:r>
      <w:r>
        <w:t>анство и успешной социализации детей с ограниченными возможностями здоровья (ОВЗ);</w:t>
      </w:r>
    </w:p>
    <w:p w:rsidR="00F148A7" w:rsidRDefault="00AD1D7F">
      <w:pPr>
        <w:pStyle w:val="20"/>
        <w:shd w:val="clear" w:color="auto" w:fill="auto"/>
        <w:spacing w:after="0" w:line="319" w:lineRule="exact"/>
        <w:ind w:left="1120" w:firstLine="0"/>
        <w:jc w:val="both"/>
      </w:pPr>
      <w:r>
        <w:t>активно развивается и расширяется система дополнительного образования;</w:t>
      </w:r>
    </w:p>
    <w:p w:rsidR="00F148A7" w:rsidRDefault="00AD1D7F">
      <w:pPr>
        <w:pStyle w:val="20"/>
        <w:shd w:val="clear" w:color="auto" w:fill="auto"/>
        <w:spacing w:after="0" w:line="319" w:lineRule="exact"/>
        <w:ind w:left="1120" w:firstLine="0"/>
        <w:jc w:val="both"/>
      </w:pPr>
      <w:r>
        <w:t>проводятся мероприятия, направленные на обеспечение антитеррористической, противопожарной безопасности</w:t>
      </w:r>
      <w:r>
        <w:t xml:space="preserve"> образовательных организаций, по совершенствованию материально-технической базы образовательных организаций, в т.ч. выполнению необходимых ремонтных работ.</w:t>
      </w:r>
    </w:p>
    <w:p w:rsidR="00F148A7" w:rsidRDefault="00AD1D7F">
      <w:pPr>
        <w:pStyle w:val="10"/>
        <w:keepNext/>
        <w:keepLines/>
        <w:shd w:val="clear" w:color="auto" w:fill="auto"/>
        <w:spacing w:after="153"/>
        <w:ind w:left="4800"/>
      </w:pPr>
      <w:bookmarkStart w:id="6" w:name="bookmark5"/>
      <w:r>
        <w:t>Культура</w:t>
      </w:r>
      <w:bookmarkEnd w:id="6"/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На территории Вышневолоцкого городского округа осуществляют деятельность 34 библиотеки, 24 </w:t>
      </w:r>
      <w:r>
        <w:t>учреждения культурно-досугового типа, 3 учреждения дополнительного образования.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lastRenderedPageBreak/>
        <w:t>В целях обеспечения устойчивой работы в 2020 году были произведены ремонтные работы в следующих в учреждениях культуры - Есеновичский Дом культуры ,Садовый Дом культуры, Академ</w:t>
      </w:r>
      <w:r>
        <w:t>ический Дом культуры, Подольская сельская библиотека, Борисовская сельская библиотека, Академическая сельская библиотека, МБУК «Вышневолоцкая Центральная библиотека», Бельская сельская библиотека.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Участие в 2020 году в софинансировании по развитию и укрепл</w:t>
      </w:r>
      <w:r>
        <w:t>ению материально - технической базы домов культуры в населенных пунктах с числом жителей до 50 тыс.человек позволило осуществить закупку и обновить музыкальное и звуковое оборудование для Дятловского Дома культуры и одежду для сцены в Академический Дом кул</w:t>
      </w:r>
      <w:r>
        <w:t>ьтуры.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Благодаря победе в областном конкурсе на звание «Лучшая библиотека, находящаяся на территории сельского поселения Тверской области», Дятловская и Овсищенская сельские библиотеки получили новое оборудование и мебель.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В национальный проект «Культура» </w:t>
      </w:r>
      <w:r>
        <w:t>Российской Федерации вошел Центр детского и семейного чтения. Старейшая городская библиотека, обслуживающая читателей всех возрастов, стала победителем конкурсного отбора на предоставление иных межбюджетных трансфертов на создание в 2021 году модельных мун</w:t>
      </w:r>
      <w:r>
        <w:t>иципальных библиотек в рамках федерального проекта «Культурная среда».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Несомненно, что эти преобразования в учреждениях культуры положительно сказываются на качестве услуг и пов</w:t>
      </w:r>
      <w:r>
        <w:rPr>
          <w:rStyle w:val="22"/>
        </w:rPr>
        <w:t>ыш</w:t>
      </w:r>
      <w:r>
        <w:t>ают интерес вышневолочан к искусству и любительскому творчеству, так численно</w:t>
      </w:r>
      <w:r>
        <w:t>сть участников клубных формирований в сравнении с 2019 годом увеличилась на 9,27%.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Еще одним положительным примером дружеского культурного обмена стала созданная в 2019 году Ганзейская галерея. Уникальный проект по развитию культурных и туристических связе</w:t>
      </w:r>
      <w:r>
        <w:t>й реализован на базе народной картинной галереи поселка Солнечного. В феврале 2020 год открылась Ганзейская галерея, фонд которой составили полотна европейских художников из городов Ганзейского союза Нового времени.</w:t>
      </w:r>
    </w:p>
    <w:p w:rsidR="00F148A7" w:rsidRDefault="00AD1D7F">
      <w:pPr>
        <w:pStyle w:val="20"/>
        <w:shd w:val="clear" w:color="auto" w:fill="auto"/>
        <w:spacing w:after="0" w:line="318" w:lineRule="exact"/>
        <w:ind w:firstLine="740"/>
        <w:jc w:val="both"/>
      </w:pPr>
      <w:r>
        <w:t>В 2020 году в связи с ограничениями, свя</w:t>
      </w:r>
      <w:r>
        <w:t>занными с пандемией короновируса, количество событийных мероприятий сократилось. Но самые яркие праздники и фестивали состоялись: фестиваль «Один день в русской усадьбе» в пос. Овсище, Межрегиональная Вышневолоцкая ярмарка. Вопрос повышения качества событи</w:t>
      </w:r>
      <w:r>
        <w:t>йных мероприятий решило приобретение современного сценического экрана. В декабре 2020 года был приобретен светодиодный экран по итогам участия во втором этапе конкурса доходогенерирующих проектов на условиях софинансирования. Из областного бюджета Тверской</w:t>
      </w:r>
      <w:r>
        <w:t xml:space="preserve"> области были выделены средства в размере 1,22 млн. рублей. Доля муниципального бюджета составила 280,7 тыс. рублей.</w:t>
      </w:r>
    </w:p>
    <w:p w:rsidR="00F148A7" w:rsidRDefault="00AD1D7F">
      <w:pPr>
        <w:pStyle w:val="20"/>
        <w:shd w:val="clear" w:color="auto" w:fill="auto"/>
        <w:spacing w:after="0" w:line="318" w:lineRule="exact"/>
        <w:ind w:firstLine="740"/>
        <w:jc w:val="both"/>
      </w:pPr>
      <w:r>
        <w:t xml:space="preserve">Вышний Волочек стал участником межрегионального туристического проекта «Государева дорога». Большая часть туристического маршрута проходит </w:t>
      </w:r>
      <w:r>
        <w:t>по федеральной трассе М10 через территории четырех областей: Московской, Тверской, Новгородской и Ленинградской. В рамках развития туристического марщрута «Государева дорога» состоялись 4 инфотура для туроператоров и журналистов. В августе 2020 года наш кр</w:t>
      </w:r>
      <w:r>
        <w:t>ай посетили участники масштабного автопробега из четырех регионов: Московской, Тверской, Новгородской и Ленинградской областей.</w:t>
      </w:r>
    </w:p>
    <w:p w:rsidR="00F148A7" w:rsidRDefault="00AD1D7F">
      <w:pPr>
        <w:pStyle w:val="20"/>
        <w:shd w:val="clear" w:color="auto" w:fill="auto"/>
        <w:spacing w:after="0" w:line="318" w:lineRule="exact"/>
        <w:ind w:firstLine="740"/>
        <w:jc w:val="both"/>
      </w:pPr>
      <w:r>
        <w:t>Важно отметить, что для обеспечения устойчивой работы объектов культурного досуга населения требуется модернизация материально-т</w:t>
      </w:r>
      <w:r>
        <w:t xml:space="preserve">ехнического оснащения многих учреждений. Современное состояние учреждений культуры характеризуется высокой степенью изношенности зданий, сооружений, оборудования, инженерных коммуникаций. Несоответствие материально- </w:t>
      </w:r>
      <w:r>
        <w:lastRenderedPageBreak/>
        <w:t>технического состояния и оснащенности уч</w:t>
      </w:r>
      <w:r>
        <w:t>реждений культуры современным нормам и изменившимся социокультурным ориентациям населения снижает возможность обеспечения равного доступа населения района к услугам в сфере культуры и повышения качества оказываемых услуг.</w:t>
      </w:r>
    </w:p>
    <w:p w:rsidR="00F148A7" w:rsidRDefault="00AD1D7F">
      <w:pPr>
        <w:pStyle w:val="20"/>
        <w:shd w:val="clear" w:color="auto" w:fill="auto"/>
        <w:spacing w:after="0" w:line="318" w:lineRule="exact"/>
        <w:ind w:firstLine="740"/>
        <w:jc w:val="both"/>
      </w:pPr>
      <w:r>
        <w:t xml:space="preserve">Для решения остро стоящих проблем </w:t>
      </w:r>
      <w:r>
        <w:t>материально-технического обеспечения сферы культуры необходимы капитальный и текущий ремонт учреждений культуры, централизованное приобретение для культурно - досуговых учреждений высококачественной музыкальной и технической, видео и аудиоаппаратурой, свет</w:t>
      </w:r>
      <w:r>
        <w:t>овых приборов, видеопроекционного оборудования, пошив костюмов, одежды сцены, строительство зданий для учреждений культуры, находящихся в приспособленных помещениях.</w:t>
      </w:r>
    </w:p>
    <w:p w:rsidR="00F148A7" w:rsidRDefault="00AD1D7F">
      <w:pPr>
        <w:pStyle w:val="20"/>
        <w:shd w:val="clear" w:color="auto" w:fill="auto"/>
        <w:spacing w:after="0" w:line="318" w:lineRule="exact"/>
        <w:ind w:firstLine="740"/>
        <w:jc w:val="both"/>
      </w:pPr>
      <w:r>
        <w:t>В 2021 году в рамках регионального проекта «Культурная среда», по подпрограмме «Реализация</w:t>
      </w:r>
      <w:r>
        <w:t xml:space="preserve"> социально-значимых проектов в сфере культуры государственной программы Тверской области «Культура Тверской области на 2021 - 2026 гг» будет произведен ремонт Дома культуры в пос. Терелесовский и закуплено новое оборудование.</w:t>
      </w:r>
    </w:p>
    <w:p w:rsidR="00F148A7" w:rsidRDefault="00AD1D7F">
      <w:pPr>
        <w:pStyle w:val="20"/>
        <w:shd w:val="clear" w:color="auto" w:fill="auto"/>
        <w:spacing w:after="0" w:line="318" w:lineRule="exact"/>
        <w:ind w:firstLine="740"/>
        <w:jc w:val="both"/>
      </w:pPr>
      <w:r>
        <w:t>Запланирован ремонт Дома культ</w:t>
      </w:r>
      <w:r>
        <w:t>уры в дер. Лужниково. По программе «Комплексное развития сельских территорий» планируется строительство Дома культуры в дер. Афимьино.</w:t>
      </w:r>
    </w:p>
    <w:p w:rsidR="00F148A7" w:rsidRDefault="00AD1D7F">
      <w:pPr>
        <w:pStyle w:val="10"/>
        <w:keepNext/>
        <w:keepLines/>
        <w:shd w:val="clear" w:color="auto" w:fill="auto"/>
        <w:spacing w:after="180" w:line="318" w:lineRule="exact"/>
        <w:ind w:left="3400"/>
      </w:pPr>
      <w:bookmarkStart w:id="7" w:name="bookmark6"/>
      <w:r>
        <w:t>Физическая культура и спорт</w:t>
      </w:r>
      <w:bookmarkEnd w:id="7"/>
    </w:p>
    <w:p w:rsidR="00F148A7" w:rsidRDefault="00AD1D7F">
      <w:pPr>
        <w:pStyle w:val="20"/>
        <w:shd w:val="clear" w:color="auto" w:fill="auto"/>
        <w:spacing w:after="0" w:line="318" w:lineRule="exact"/>
        <w:ind w:firstLine="740"/>
        <w:jc w:val="both"/>
      </w:pPr>
      <w:r>
        <w:t>Сфера физической культуры и спорта была и остается для нас одним из приоритетов социальной по</w:t>
      </w:r>
      <w:r>
        <w:t>литики.</w:t>
      </w:r>
    </w:p>
    <w:p w:rsidR="00F148A7" w:rsidRDefault="00AD1D7F">
      <w:pPr>
        <w:pStyle w:val="20"/>
        <w:shd w:val="clear" w:color="auto" w:fill="auto"/>
        <w:spacing w:after="0" w:line="318" w:lineRule="exact"/>
        <w:ind w:firstLine="740"/>
        <w:jc w:val="both"/>
      </w:pPr>
      <w:r>
        <w:t xml:space="preserve">В Вышневолоцком городском округе число тех, кто выбрал спорт, как образ жизни, как досуг, возросло на 1,08 % по сравнению с прошлым годом и достигло 23 972 человека, что составляет 38,72% от общей численности населения округа. Увеличение произошло </w:t>
      </w:r>
      <w:r>
        <w:t>за счет реализации проекта «Активное Долголетие», в рамках которого население старшего поколения систематически занимается плаванием, скандинавской ходьбой, йогой, лыжными прогулками, играми в бадминтон.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2020-й стал успешным для Вышневолоцкого футбола. Фут</w:t>
      </w:r>
      <w:r>
        <w:t>больная команда «Волочанин» заняла первое место в Чемпионате и в Кубке Тверской области по футболу. Спортсмены МБУ «СШ Олимпийского чемпиона Ф.Ф. Богдановского» отделения футбол тренера - Белоусова Юрия Васильевича выступили в суперфинале Всероссийских сор</w:t>
      </w:r>
      <w:r>
        <w:t>евнований по футболу «Кожаный мяч», где заняли 4-е место в г. Сочи.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Автономные некоммерческие организации в отрасли спорта стали победителями конкурса на предоставление грантов Президента Российской Федерации размером более 1 млн. рублей. В рамках реализац</w:t>
      </w:r>
      <w:r>
        <w:t>ии грантов численность занимающихся подростков увеличилась на 54%.</w:t>
      </w:r>
    </w:p>
    <w:p w:rsidR="00F148A7" w:rsidRDefault="00AD1D7F">
      <w:pPr>
        <w:pStyle w:val="20"/>
        <w:shd w:val="clear" w:color="auto" w:fill="auto"/>
        <w:tabs>
          <w:tab w:val="left" w:pos="2804"/>
        </w:tabs>
        <w:spacing w:after="0" w:line="319" w:lineRule="exact"/>
        <w:ind w:firstLine="740"/>
        <w:jc w:val="both"/>
      </w:pPr>
      <w:r>
        <w:t>Подготовкой чемпионов по различным направлениям занимаются три спортивные школы:</w:t>
      </w:r>
      <w:r>
        <w:tab/>
        <w:t>спортивная школа Олимпийского Чемпиона им. Ф.Ф.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0"/>
        <w:jc w:val="both"/>
      </w:pPr>
      <w:r>
        <w:t xml:space="preserve">Богдановского, спортивная школа по видам единоборств и </w:t>
      </w:r>
      <w:r>
        <w:t>Детско-юношеская спортивная школа. Для спортсменов округа открыты более 20 отделений, где занимается 1600 человек. В округе культивируется более 48 видов спорта. Более 40% участников чемпионатов и первенств России, всероссийских соревнований в 2020 году ст</w:t>
      </w:r>
      <w:r>
        <w:t>али победителями и призерами международных и всероссийских соревнований.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В отрасли спорта работают 2 муниципальных центра тестирования Всероссийский физкультурно-спортивный комплекс «Готов к труду и обороне» (ГТО), где численность сдавших ГТО увеличилась н</w:t>
      </w:r>
      <w:r>
        <w:t>а 21,4%.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МБУ ДО «Детско-юношеская спортивная школа стала реализатором проекта </w:t>
      </w:r>
      <w:r>
        <w:lastRenderedPageBreak/>
        <w:t>«Легко, если вместе», который стал победителем конкурса на предоставление грантов Президента Российской Федерации и получил более 500 тыс. руб. В ходе реализации проекта закуплен</w:t>
      </w:r>
      <w:r>
        <w:t xml:space="preserve"> инвентарь и снаряжение для занятий спортивным туризмом, оказана существенная помощь в социальной реабилитации и адаптации детей и подростков «группы риска», участники получили знания в области спортивного ориентирования, изучили основы топографии. Открыты</w:t>
      </w:r>
      <w:r>
        <w:t xml:space="preserve"> новые отделения, такие как бокс, спортивный туризм, парашютный спорт. В связи с чем количество занимающихся увеличилось на 152 человека.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Спортивная школа имени Олимпийского Чемпиона Ф.Ф. Богдановского вошла в пятерку лучших спортивных школ Верхневолжья.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Д</w:t>
      </w:r>
      <w:r>
        <w:t>ля спортивных школ в 2020 году приобретено спортивного инвентаря на сумму 900, 1 тыс. руб., из них 810 тыс. руб. - областные средства, 90,1 тыс. руб. местный бюджет.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>На территории городского округа проводятся как муниципальные, так и областные соревнования</w:t>
      </w:r>
      <w:r>
        <w:t>: первенство - чемпионат и кубок области по футболу, областные соревнования по футболу «Кожаный мяч», Кубок памяти Ф.Ф.Богдановского по тяжелой атлетике, чемпионат и первенство области по легкой атлетике, межрегиональный турнир по греко-римской борьбе, пам</w:t>
      </w:r>
      <w:r>
        <w:t>яти воинов-интернационалистов, межрегиональные соревнования по гребле на байдарках и каноэ «Русская Венеция».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Вышневолоцкий городской округ стал одной из площадок Фестиваля по гребле на лодках класса «Дракон» с участием детей-инвалидов. Мероприятие прошло </w:t>
      </w:r>
      <w:r>
        <w:t>в рамках проекта «Ладья безграничных возможностей», который стал одним из победителей конкурса на предоставление грантов Президента Российской Федерации. В 2020 году в Вышневолоцком городском округе в рамках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0"/>
        <w:jc w:val="both"/>
      </w:pPr>
      <w:r>
        <w:t>Единого календарного плана проведено 156 муницип</w:t>
      </w:r>
      <w:r>
        <w:t>альных спортивно-массовых мероприятий и соревнований, в которых приняло участие 10 697 человек.</w:t>
      </w:r>
    </w:p>
    <w:p w:rsidR="00F148A7" w:rsidRDefault="00AD1D7F">
      <w:pPr>
        <w:pStyle w:val="20"/>
        <w:shd w:val="clear" w:color="auto" w:fill="auto"/>
        <w:spacing w:after="149" w:line="321" w:lineRule="exact"/>
        <w:ind w:firstLine="800"/>
        <w:jc w:val="both"/>
      </w:pPr>
      <w:r>
        <w:t>У нас насчитывается около 140 плоскостных спортивных сооружений. В этом году по программе «Физическая культура и спорт» в микрорайоне «Вышневолоцкая» установлен</w:t>
      </w:r>
      <w:r>
        <w:t>о плоскостное сооружение - мини-футбольное поле с искусственным покрытием стоимостью 2,3 млн. руб, из них 1,79 млн. руб - областные средства, 543,7 тыс.руб - местные средства. В рамках проекта «Спорт- норма» на территории МБУ «Красномайская СОШ им. С.Ф. Уш</w:t>
      </w:r>
      <w:r>
        <w:t>акова» установлена площадка ГТО, где стоимость работ по подготовке площадки для установки тренажеров ГТО составила 500,2 млн.руб. из бюджета муниципального образования. Уровень обеспеченности граждан спортивными сооружениями, исходя из единовременной пропу</w:t>
      </w:r>
      <w:r>
        <w:t>скной способности объектов спорта в 2020 г. составил 50,53.</w:t>
      </w:r>
    </w:p>
    <w:p w:rsidR="00F148A7" w:rsidRDefault="00AD1D7F">
      <w:pPr>
        <w:pStyle w:val="30"/>
        <w:shd w:val="clear" w:color="auto" w:fill="auto"/>
        <w:spacing w:after="132"/>
        <w:ind w:left="1780"/>
      </w:pPr>
      <w:r>
        <w:t>Жилищное строительство и обеспечение граждан жильем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800"/>
        <w:jc w:val="both"/>
      </w:pPr>
      <w:r>
        <w:t>Обеспечение граждан доступным и комфортным жильем - одна из важных задач социально-экономического развития.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800"/>
        <w:jc w:val="both"/>
      </w:pPr>
      <w:r>
        <w:t xml:space="preserve">Площадь земельных участков, </w:t>
      </w:r>
      <w:r>
        <w:t>предоставленных для строительства в 2020 году в расчете на 10 тыс.человек, составила 4,1 га, в том числе для жилищного строительства - 8 га.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800"/>
        <w:jc w:val="both"/>
      </w:pPr>
      <w:r>
        <w:t>На территории Вышневолоцкого городского округа находятся 2369 многоквартирных домов. Доля многоквартирных домов, ра</w:t>
      </w:r>
      <w:r>
        <w:t>сположенных на земельных участках, в отношении которых осуществлен государственный кадастровый учет, составляет 82%.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800"/>
        <w:jc w:val="both"/>
      </w:pPr>
      <w:r>
        <w:t>По итогам 2020 года обеспеченность населения жильем в Вышневолоцком -.городском округе составила 32,62 кв.м, на душу населения.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800"/>
        <w:jc w:val="both"/>
      </w:pPr>
      <w:r>
        <w:t>В 2020 году</w:t>
      </w:r>
      <w:r>
        <w:t xml:space="preserve"> Администрацией Вышневолоцкого городского округа </w:t>
      </w:r>
      <w:r>
        <w:lastRenderedPageBreak/>
        <w:t>приобретено 13 квартир для детей - сирот и детей, оставшихся без попечения родителей.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800"/>
        <w:jc w:val="both"/>
      </w:pPr>
      <w:r>
        <w:t>В рамках участия в государственной программе Тверской области «Развитие демографической и семейной политики Тверской обла</w:t>
      </w:r>
      <w:r>
        <w:t>сти» на 2020 - 2025 годы» Администрацией Вышневолоцкого городского округа приобретена четырехкомнатная квартира малоимущей многодетной семье, состоящей на учете нуждающихся в жилых помещениях, предоставляемых по договорам социального найма площадью 76,8 кв</w:t>
      </w:r>
      <w:r>
        <w:t>.м.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800"/>
        <w:jc w:val="both"/>
      </w:pPr>
      <w:r>
        <w:t xml:space="preserve">В рамках участия в ведомственной целевой программе «Оказание государственной поддержки гражданам в обеспечении жильем и оплате жилищно- коммунальных услуг» государственной программы Российской Федерации «Обеспечение доступным и комфортным жильем и </w:t>
      </w:r>
      <w:r>
        <w:t>коммунальными услугами граждан Российской Федерации» выдан государственный жилищный сертификат гражданину, признанному в установленном порядке вынужденным переселенцем на сумму 1 518, 4 тыс. рублей.</w:t>
      </w:r>
    </w:p>
    <w:p w:rsidR="00F148A7" w:rsidRDefault="00AD1D7F">
      <w:pPr>
        <w:pStyle w:val="20"/>
        <w:shd w:val="clear" w:color="auto" w:fill="auto"/>
        <w:spacing w:after="0" w:line="321" w:lineRule="exact"/>
        <w:ind w:firstLine="800"/>
        <w:jc w:val="both"/>
      </w:pPr>
      <w:r>
        <w:t>Также в 2020 году Администрацией Вышневолоцкого городског</w:t>
      </w:r>
      <w:r>
        <w:t>о округа предоставлено 4 жилых помещения по договору социального найма жилого помещения гражданам, стоящим на учете в качестве нуждающихся в жилых помещениях.</w:t>
      </w:r>
    </w:p>
    <w:p w:rsidR="00F148A7" w:rsidRDefault="00AD1D7F">
      <w:pPr>
        <w:pStyle w:val="10"/>
        <w:keepNext/>
        <w:keepLines/>
        <w:shd w:val="clear" w:color="auto" w:fill="auto"/>
        <w:spacing w:after="133" w:line="321" w:lineRule="exact"/>
        <w:ind w:right="60"/>
        <w:jc w:val="center"/>
      </w:pPr>
      <w:bookmarkStart w:id="8" w:name="bookmark7"/>
      <w:r>
        <w:t>Жилищно-коммунальное хозяйство</w:t>
      </w:r>
      <w:bookmarkEnd w:id="8"/>
    </w:p>
    <w:p w:rsidR="00F148A7" w:rsidRDefault="00AD1D7F">
      <w:pPr>
        <w:pStyle w:val="20"/>
        <w:shd w:val="clear" w:color="auto" w:fill="auto"/>
        <w:spacing w:after="0" w:line="330" w:lineRule="exact"/>
        <w:ind w:firstLine="800"/>
        <w:jc w:val="both"/>
      </w:pPr>
      <w:r>
        <w:t>Одной из главных задач развития и реформирования отрасли ЖКХ являе</w:t>
      </w:r>
      <w:r>
        <w:t>тся формирование эффективных механизмов управления жилищным фондом.</w:t>
      </w:r>
    </w:p>
    <w:p w:rsidR="00F148A7" w:rsidRDefault="00AD1D7F">
      <w:pPr>
        <w:pStyle w:val="20"/>
        <w:shd w:val="clear" w:color="auto" w:fill="auto"/>
        <w:spacing w:after="0" w:line="329" w:lineRule="exact"/>
        <w:ind w:firstLine="780"/>
        <w:jc w:val="both"/>
      </w:pPr>
      <w:r>
        <w:t>Общее количество многоквартирных домов (МКД), в которых собственники помещений должны выбрать способ управления на 01.01.2020 составило 922 единиц.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80"/>
        <w:jc w:val="both"/>
      </w:pPr>
      <w:r>
        <w:t>Выбрали и реализуют способ управления со</w:t>
      </w:r>
      <w:r>
        <w:t>бственники помещений 906 многоквартирных домов. В 2022 году планируется завершить работу по проведению конкурсов по выбору Управляющей компании для многоквартирных домов, которые не определились со способом управления.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80"/>
        <w:jc w:val="both"/>
      </w:pPr>
      <w:r>
        <w:t>На территории Вышневолоцкого городско</w:t>
      </w:r>
      <w:r>
        <w:t>го округа производственную деятельность по оказанию услуг по водо-, тепло-, газо-, электроснабжению, водоотведению, очистке сточных вод, утилизации (захоронению) твердых бытовых отходов осуществляют 16 предприятий коммунального комплекса.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780"/>
        <w:jc w:val="both"/>
      </w:pPr>
      <w:r>
        <w:t>Количество органи</w:t>
      </w:r>
      <w:r>
        <w:t>заций, использующих объекты коммунальной инфраструктуры на праве частной собственности, по договору аренды или концессии,^участие субъекта Российской Федерации и (или) городского округа (муниципального района), в уставном капитале которых составляет не бол</w:t>
      </w:r>
      <w:r>
        <w:t>ее 25 % - 13 предприятий. Их доля в общем числе предприятий коммунального комплекса, осуществляющих свою деятельность на территории муниципального образования составила 81 %.</w:t>
      </w:r>
    </w:p>
    <w:p w:rsidR="00F148A7" w:rsidRDefault="00AD1D7F">
      <w:pPr>
        <w:pStyle w:val="30"/>
        <w:shd w:val="clear" w:color="auto" w:fill="auto"/>
        <w:spacing w:after="160" w:line="319" w:lineRule="exact"/>
        <w:ind w:left="2880"/>
      </w:pPr>
      <w:r>
        <w:t>Организация муниципального управления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0"/>
        <w:jc w:val="both"/>
      </w:pPr>
      <w:r>
        <w:t xml:space="preserve">Реализация полномочий, функций и задач, </w:t>
      </w:r>
      <w:r>
        <w:t>возложенных на органы местного самоуправления, невозможна без стабильной финансовой платформы. Поэтому важнейшим инструментом проведения экономической, социальной и инвестиционной политики на территории муниципалитета является бюджет муниципального образов</w:t>
      </w:r>
      <w:r>
        <w:t>ания.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540"/>
        <w:jc w:val="both"/>
      </w:pPr>
      <w:r>
        <w:t>Исполнение расходных обязательств органов местного самоуправления напрямую зависит от уровня наполняемости доходной части бюджета.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540"/>
        <w:jc w:val="both"/>
      </w:pPr>
      <w:r>
        <w:t>По итогам 2020 года плановые показатели по доходам исполнены на 99,6 % в сумме 1 537,8 млн. руб. При этом стоит отметит</w:t>
      </w:r>
      <w:r>
        <w:t xml:space="preserve">ь, что уточненный план по налоговым </w:t>
      </w:r>
      <w:r>
        <w:lastRenderedPageBreak/>
        <w:t xml:space="preserve">и неналоговым доходам исполнен на 106,7 %. Дополнительно в доход бюджета в 2020 году поступило 45,1 млн. руб. налоговых и неналоговых доходов. К уровню 2019 года рост по указанным видам доходов составил 25,2 % или 145,2 </w:t>
      </w:r>
      <w:r>
        <w:t>млн. руб. в суммовом выражении.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540"/>
        <w:jc w:val="both"/>
      </w:pPr>
      <w:r>
        <w:t xml:space="preserve">Несмотря на негативное влияние на экономику муниципального образования последствий распространения коронавирусной инфекции, плановые показатели выполнены практически по всем налоговым и неналоговым доходным источникам. Так, </w:t>
      </w:r>
      <w:r>
        <w:t>по НДФЛ план перевыполнен на 3,4 %, что в сумме составило 17,4 млн. руб.; по имущественным налогам рост составил 2,1 % или 1,4 млн. руб. Кроме того, по результатам аукциона по продаже земельного участка, расположенного на территории бывшего Есеновичского п</w:t>
      </w:r>
      <w:r>
        <w:t>оселения, дополнительно в доход бюджета поступило 20,9 млн. руб.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540"/>
        <w:jc w:val="both"/>
      </w:pPr>
      <w:r>
        <w:t>Тем не менее, основной задачей бюджетной политики, реализуемой органами местного самоуправления в 2021 году и плановом периоде на территории муниципального образования, должна стать мобилизац</w:t>
      </w:r>
      <w:r>
        <w:t>ия налоговых и неналоговых доходов в бюджет муниципалитета.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540"/>
        <w:jc w:val="both"/>
      </w:pPr>
      <w:r>
        <w:t>Сокращение недоимки, развитие налогового потенциала территории, а также повышение эффективности управления муниципальной собственностью позволит улучшить качество жизни населения и даст новые возм</w:t>
      </w:r>
      <w:r>
        <w:t>ожности для развития территории округа.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540"/>
        <w:jc w:val="both"/>
      </w:pPr>
      <w:r>
        <w:t>В бюджет муниципального образования продолжают активно привлекаться средства вышестоящих бюджетов. В 2020 году таких средств привлечено более</w:t>
      </w:r>
    </w:p>
    <w:p w:rsidR="00F148A7" w:rsidRDefault="00AD1D7F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after="0" w:line="319" w:lineRule="exact"/>
        <w:ind w:firstLine="0"/>
        <w:jc w:val="both"/>
      </w:pPr>
      <w:r>
        <w:t>млн. руб., что позволило реализовать проекты по поддержке местных инициати</w:t>
      </w:r>
      <w:r>
        <w:t>в, по ремонту улично-дорожной сети и объектов теплоснабжения, благоустроить парки и скверы, приобрести оборудование для муниципальных учреждений округа.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0"/>
        <w:jc w:val="both"/>
      </w:pPr>
      <w:r>
        <w:t>Вместе с тем, уточненный план 2020 года по безвозмездным поступлениям из федерального и областного бюдж</w:t>
      </w:r>
      <w:r>
        <w:t>етов в бюджет городского округа исполнен на</w:t>
      </w:r>
    </w:p>
    <w:p w:rsidR="00F148A7" w:rsidRDefault="00AD1D7F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319" w:lineRule="exact"/>
        <w:ind w:firstLine="0"/>
        <w:jc w:val="both"/>
      </w:pPr>
      <w:r>
        <w:t>%.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600"/>
        <w:jc w:val="both"/>
      </w:pPr>
      <w:r>
        <w:t>Невыполнение плановых показателей образовалось по причине экономии бюджетных средств при проведении аукционов в электронной форме.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460"/>
        <w:jc w:val="both"/>
      </w:pPr>
      <w:r>
        <w:t xml:space="preserve">Расходная часть бюджета муниципального образования за 2020 год исполнена в </w:t>
      </w:r>
      <w:r>
        <w:t>сумме 1 528,2 млн. руб. или 95,1 % к уточненному плану.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460"/>
        <w:jc w:val="both"/>
      </w:pPr>
      <w:r>
        <w:t>Бюджетная политика Вышневолоцкого городского округа в части расходования бюджетных средств нацелена на оптимизацию и повышение эффективности и результативности бюджетных расходов.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360"/>
        <w:jc w:val="both"/>
      </w:pPr>
      <w:r>
        <w:t>^Существенную роль в</w:t>
      </w:r>
      <w:r>
        <w:t xml:space="preserve"> обеспечении эффективного и рационального расходования бюджетных средств играет осуществление закупок для нужд муниципалитетов путем проведения конкурентных способов закупки.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460"/>
        <w:jc w:val="both"/>
      </w:pPr>
      <w:r>
        <w:t>Объем таких закупок в 2020 году превысил 726,0 млн. руб. Экономия средств по резу</w:t>
      </w:r>
      <w:r>
        <w:t>льтатам проведения конкурентных способов закупки ‘в отчетном году составила 27,3 млн. руб.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460"/>
        <w:jc w:val="both"/>
      </w:pPr>
      <w:r>
        <w:t xml:space="preserve">На долю электронных аукционов в 2020 году приходится 100 </w:t>
      </w:r>
      <w:r>
        <w:rPr>
          <w:rStyle w:val="23"/>
        </w:rPr>
        <w:t>%</w:t>
      </w:r>
      <w:r>
        <w:t xml:space="preserve"> от общего количества всех проведенных конкурентных закупок. Данный способ осуществления закупок является с</w:t>
      </w:r>
      <w:r>
        <w:t>амой открытой и высоко конкурентной формой осуществления закупочных процедур, предотвращает коррупцию и другие злоупотребления в сфере закупок.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460"/>
        <w:jc w:val="both"/>
      </w:pPr>
      <w:r>
        <w:t xml:space="preserve">Муниципальные программы, реализуемые на территории Вышневолоцкого городского округа, позволяют четко определить </w:t>
      </w:r>
      <w:r>
        <w:t xml:space="preserve">цели и задачи органов местного самоуправления, оценить ожидаемые результаты от вложения финансовых средств, что в конечном итоге позволяет более эффективно и рационально использовать </w:t>
      </w:r>
      <w:r>
        <w:lastRenderedPageBreak/>
        <w:t>бюджетные средства.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460"/>
        <w:jc w:val="both"/>
      </w:pPr>
      <w:r>
        <w:t>В 2020 году более 92,5 % расходов бюджета округа осущ</w:t>
      </w:r>
      <w:r>
        <w:t>ествлено в рамках реализации 14 муниципальных программ. С 2021 года на территории Вышневолоцкого городского округа действуют 15 муниципальных программ.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460"/>
        <w:jc w:val="both"/>
      </w:pPr>
      <w:r>
        <w:t>С целью повышения качества и доступности муниципальных услуг, оказываемых населению Вышневолоцкого город</w:t>
      </w:r>
      <w:r>
        <w:t>ского округа, муниципальным учреждениям ежегодно утверждаются муниципальные задания. На выполнение муниципальных заданий в 2020 году направлено более 974,9 млн. руб., что составило 64,0 % к общему объему бюджетных расходов.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460"/>
        <w:jc w:val="both"/>
      </w:pPr>
      <w:r>
        <w:t>Как и прежде, бюджет муниципалит</w:t>
      </w:r>
      <w:r>
        <w:t>ета в отчетном году имел четко выраженную социально-культурную направленность. Финансирование отраслей социальной политики, образования, культуры, физической культуры и спорта осуществлено в объеме 1114,4 млн. руб., что составило 72,9 % в общей сумме расхо</w:t>
      </w:r>
      <w:r>
        <w:t>дов. В плановом периоде 2021 -2023 годах расходы по данным отраслям поддерживаются на том же уровне.</w:t>
      </w:r>
    </w:p>
    <w:p w:rsidR="00F148A7" w:rsidRDefault="00AD1D7F">
      <w:pPr>
        <w:pStyle w:val="20"/>
        <w:shd w:val="clear" w:color="auto" w:fill="auto"/>
        <w:spacing w:after="0" w:line="319" w:lineRule="exact"/>
        <w:ind w:firstLine="460"/>
        <w:jc w:val="both"/>
      </w:pPr>
      <w:r>
        <w:t xml:space="preserve">Значительное внимание в округе уделялось и будет уделяться укреплению материально-технической базы муниципальных учреждений и содержанию зданий учреждений </w:t>
      </w:r>
      <w:r>
        <w:t>в надлежащем виде и техническом состоянии. В 2020 году на указанные цели направлено около 47,1 млн. руб., из них 17,0 млн. руб. за счет собственных бюджетных средств.</w:t>
      </w:r>
    </w:p>
    <w:p w:rsidR="00F148A7" w:rsidRDefault="00AD1D7F">
      <w:pPr>
        <w:pStyle w:val="20"/>
        <w:shd w:val="clear" w:color="auto" w:fill="auto"/>
        <w:spacing w:after="0" w:line="317" w:lineRule="exact"/>
        <w:ind w:left="160" w:firstLine="460"/>
        <w:jc w:val="both"/>
      </w:pPr>
      <w:r>
        <w:t>Финансирование расходных обязательств органов местного самоуправления округа в полном объ</w:t>
      </w:r>
      <w:r>
        <w:t>еме в 2020 году было осложнено наличием значительной суммы просроченной кредиторской задолженности, образовавшейся при исполнении бюджета города Вышний Волочек за период 2011-2018 годов.</w:t>
      </w:r>
    </w:p>
    <w:p w:rsidR="00F148A7" w:rsidRDefault="00AD1D7F">
      <w:pPr>
        <w:pStyle w:val="20"/>
        <w:shd w:val="clear" w:color="auto" w:fill="auto"/>
        <w:spacing w:after="0" w:line="317" w:lineRule="exact"/>
        <w:ind w:left="160" w:firstLine="460"/>
        <w:jc w:val="both"/>
      </w:pPr>
      <w:r>
        <w:t>Но и по этому направлению муниципалитет сработал с положительным резу</w:t>
      </w:r>
      <w:r>
        <w:t>льтатом. По состоянию на 01.01.2021 года сумма просроченной кредиторской задолженности уменьшилась на 44,7 млн. руб. и составила 27,6 млн. руб.</w:t>
      </w:r>
    </w:p>
    <w:p w:rsidR="00F148A7" w:rsidRDefault="00AD1D7F">
      <w:pPr>
        <w:pStyle w:val="20"/>
        <w:shd w:val="clear" w:color="auto" w:fill="auto"/>
        <w:spacing w:after="0" w:line="317" w:lineRule="exact"/>
        <w:ind w:left="160" w:firstLine="460"/>
        <w:jc w:val="both"/>
      </w:pPr>
      <w:r>
        <w:t>Однако в целях сокращения кредиторской задолженности муниципальному образованию пришлось оформить кредит, предос</w:t>
      </w:r>
      <w:r>
        <w:t>тавленный областным бюджетом Тверской области на сумму 38,4 млн. руб. со сроком погашения в 2022 году.</w:t>
      </w:r>
    </w:p>
    <w:p w:rsidR="00F148A7" w:rsidRDefault="00AD1D7F">
      <w:pPr>
        <w:pStyle w:val="20"/>
        <w:shd w:val="clear" w:color="auto" w:fill="auto"/>
        <w:spacing w:after="0" w:line="317" w:lineRule="exact"/>
        <w:ind w:left="160" w:firstLine="460"/>
        <w:jc w:val="both"/>
      </w:pPr>
      <w:r>
        <w:t>В тоже время, в 2020 году муниципалитетом был погашен бюджетный кредит, полученный городом из областного бюджета Тверской области в 2018 году в сумме 13,</w:t>
      </w:r>
      <w:r>
        <w:t>6 млн. руб.</w:t>
      </w:r>
    </w:p>
    <w:p w:rsidR="00F148A7" w:rsidRDefault="00AD1D7F">
      <w:pPr>
        <w:pStyle w:val="20"/>
        <w:shd w:val="clear" w:color="auto" w:fill="auto"/>
        <w:spacing w:after="0" w:line="317" w:lineRule="exact"/>
        <w:ind w:firstLine="620"/>
        <w:jc w:val="left"/>
      </w:pPr>
      <w:r>
        <w:t>В 2021 году муниципалитет продолжит планомерную работу, направленную на ликвидацию просроченной кредиторской задолженности и уменьшение ’ Кредитной нагрузки на бюджет округа.</w:t>
      </w:r>
    </w:p>
    <w:p w:rsidR="00F148A7" w:rsidRDefault="00AD1D7F">
      <w:pPr>
        <w:pStyle w:val="20"/>
        <w:shd w:val="clear" w:color="auto" w:fill="auto"/>
        <w:spacing w:after="0" w:line="317" w:lineRule="exact"/>
        <w:ind w:left="160" w:firstLine="460"/>
        <w:jc w:val="both"/>
      </w:pPr>
      <w:r>
        <w:t>При планировании бюджета муниципального образования Вышневолоцкий гор</w:t>
      </w:r>
      <w:r>
        <w:t>одской округ Тверской области на очередной финансовый год и последующем его уточнении постоянно проводится мониторинг эффективности бюджетных расходов и их целесообразность.</w:t>
      </w:r>
    </w:p>
    <w:p w:rsidR="00F148A7" w:rsidRDefault="00AD1D7F">
      <w:pPr>
        <w:pStyle w:val="20"/>
        <w:shd w:val="clear" w:color="auto" w:fill="auto"/>
        <w:spacing w:after="146" w:line="317" w:lineRule="exact"/>
        <w:ind w:left="160" w:firstLine="460"/>
        <w:jc w:val="both"/>
      </w:pPr>
      <w:r>
        <w:t>В целях рационального использования бюджетных средств мун</w:t>
      </w:r>
      <w:r>
        <w:rPr>
          <w:rStyle w:val="22"/>
        </w:rPr>
        <w:t>ици</w:t>
      </w:r>
      <w:r>
        <w:t xml:space="preserve">пального образования </w:t>
      </w:r>
      <w:r>
        <w:t>проводится мониторинг соблюдения нормативов затрат на содержание органов местного самоуправления.</w:t>
      </w:r>
    </w:p>
    <w:p w:rsidR="00F148A7" w:rsidRDefault="00AD1D7F">
      <w:pPr>
        <w:pStyle w:val="30"/>
        <w:shd w:val="clear" w:color="auto" w:fill="auto"/>
        <w:spacing w:after="131"/>
        <w:ind w:left="1420"/>
      </w:pPr>
      <w:r>
        <w:t>Энергосбережение и повышение энергетической эффективности</w:t>
      </w:r>
    </w:p>
    <w:p w:rsidR="00F148A7" w:rsidRDefault="00AD1D7F">
      <w:pPr>
        <w:pStyle w:val="20"/>
        <w:shd w:val="clear" w:color="auto" w:fill="auto"/>
        <w:spacing w:after="0" w:line="322" w:lineRule="exact"/>
        <w:ind w:left="160" w:firstLine="700"/>
        <w:jc w:val="both"/>
      </w:pPr>
      <w:r>
        <w:t>В целях эффективного использования энергетических ресурсов на территории Вышневолоцкого городского о</w:t>
      </w:r>
      <w:r>
        <w:t>круга проводились мероприятия по пропаганде и популяризации мероприятий по энергосбережению, повышению уровня компетентности населения и специалистов в данных вопросах.</w:t>
      </w:r>
    </w:p>
    <w:p w:rsidR="00F148A7" w:rsidRDefault="00AD1D7F">
      <w:pPr>
        <w:pStyle w:val="20"/>
        <w:shd w:val="clear" w:color="auto" w:fill="auto"/>
        <w:spacing w:after="0" w:line="322" w:lineRule="exact"/>
        <w:ind w:left="160" w:firstLine="700"/>
        <w:jc w:val="both"/>
      </w:pPr>
      <w:r>
        <w:t xml:space="preserve">Проведена работа с управляющими организациями, обслуживающими жилой фонд организациями </w:t>
      </w:r>
      <w:r>
        <w:t xml:space="preserve">и населением по разъяснению требований действующего </w:t>
      </w:r>
      <w:r>
        <w:lastRenderedPageBreak/>
        <w:t>законодательства в части необходимости оснащения жилищного фонда приборами учёта энергоресурсов.</w:t>
      </w:r>
    </w:p>
    <w:p w:rsidR="00F148A7" w:rsidRDefault="00AD1D7F">
      <w:pPr>
        <w:pStyle w:val="20"/>
        <w:shd w:val="clear" w:color="auto" w:fill="auto"/>
        <w:spacing w:after="0" w:line="322" w:lineRule="exact"/>
        <w:ind w:left="160" w:firstLine="700"/>
        <w:jc w:val="both"/>
        <w:sectPr w:rsidR="00F148A7">
          <w:type w:val="continuous"/>
          <w:pgSz w:w="11900" w:h="16840"/>
          <w:pgMar w:top="368" w:right="417" w:bottom="187" w:left="1136" w:header="0" w:footer="3" w:gutter="0"/>
          <w:cols w:space="720"/>
          <w:noEndnote/>
          <w:docGrid w:linePitch="360"/>
        </w:sectPr>
      </w:pPr>
      <w:r>
        <w:t>В рамках программы поддержки местных инициатив в 2020 году установлено 233 светодиодн</w:t>
      </w:r>
      <w:r>
        <w:t>ых светильника в рамках проведения капитального ремонта уличного освещения. Экономия составила порядка 450 тыс. руб.</w:t>
      </w:r>
    </w:p>
    <w:p w:rsidR="00F148A7" w:rsidRDefault="00AD1D7F">
      <w:pPr>
        <w:pStyle w:val="40"/>
        <w:shd w:val="clear" w:color="auto" w:fill="auto"/>
        <w:spacing w:after="2251"/>
        <w:ind w:left="280"/>
      </w:pPr>
      <w:r>
        <w:lastRenderedPageBreak/>
        <w:t>Уточненный доклад</w:t>
      </w:r>
    </w:p>
    <w:p w:rsidR="00F148A7" w:rsidRDefault="00AD1D7F">
      <w:pPr>
        <w:pStyle w:val="50"/>
        <w:shd w:val="clear" w:color="auto" w:fill="auto"/>
        <w:spacing w:before="0"/>
        <w:sectPr w:rsidR="00F148A7">
          <w:pgSz w:w="16840" w:h="11900" w:orient="landscape"/>
          <w:pgMar w:top="2232" w:right="1360" w:bottom="3096" w:left="2616" w:header="0" w:footer="3" w:gutter="0"/>
          <w:cols w:space="720"/>
          <w:noEndnote/>
          <w:docGrid w:linePitch="360"/>
        </w:sectPr>
      </w:pPr>
      <w:r>
        <w:t>Главы Вышневолоцкого городского округа Тверской области Рощиной Натальи Петровны о достигнутых знач</w:t>
      </w:r>
      <w:r>
        <w:t>ениях показателей для оценки эффективности деятельности органов местного самоуправления городских округов и муниципальных районов за 2020 год и их планируемых значениях на 3-летний период</w:t>
      </w: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line="240" w:lineRule="exact"/>
        <w:rPr>
          <w:sz w:val="19"/>
          <w:szCs w:val="19"/>
        </w:rPr>
      </w:pPr>
    </w:p>
    <w:p w:rsidR="00F148A7" w:rsidRDefault="00F148A7">
      <w:pPr>
        <w:spacing w:before="29" w:after="29" w:line="240" w:lineRule="exact"/>
        <w:rPr>
          <w:sz w:val="19"/>
          <w:szCs w:val="19"/>
        </w:rPr>
      </w:pPr>
    </w:p>
    <w:p w:rsidR="00F148A7" w:rsidRDefault="00F148A7">
      <w:pPr>
        <w:rPr>
          <w:sz w:val="2"/>
          <w:szCs w:val="2"/>
        </w:rPr>
        <w:sectPr w:rsidR="00F148A7">
          <w:type w:val="continuous"/>
          <w:pgSz w:w="16840" w:h="11900" w:orient="landscape"/>
          <w:pgMar w:top="2217" w:right="0" w:bottom="2217" w:left="0" w:header="0" w:footer="3" w:gutter="0"/>
          <w:cols w:space="720"/>
          <w:noEndnote/>
          <w:docGrid w:linePitch="360"/>
        </w:sectPr>
      </w:pPr>
    </w:p>
    <w:p w:rsidR="00F148A7" w:rsidRDefault="003449E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2868295</wp:posOffset>
                </wp:positionH>
                <wp:positionV relativeFrom="paragraph">
                  <wp:posOffset>574040</wp:posOffset>
                </wp:positionV>
                <wp:extent cx="536575" cy="147320"/>
                <wp:effectExtent l="127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8A7" w:rsidRDefault="00AD1D7F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85pt;margin-top:45.2pt;width:42.25pt;height:11.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b2rgIAAKg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" filled="f" stroked="f">
                <v:textbox style="mso-fit-shape-to-text:t" inset="0,0,0,0">
                  <w:txbxContent>
                    <w:p w:rsidR="00F148A7" w:rsidRDefault="00AD1D7F">
                      <w:pPr>
                        <w:pStyle w:val="a3"/>
                        <w:shd w:val="clear" w:color="auto" w:fill="auto"/>
                      </w:pPr>
                      <w: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3011170</wp:posOffset>
                </wp:positionH>
                <wp:positionV relativeFrom="paragraph">
                  <wp:posOffset>921385</wp:posOffset>
                </wp:positionV>
                <wp:extent cx="1639570" cy="147320"/>
                <wp:effectExtent l="127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8A7" w:rsidRDefault="00AD1D7F">
                            <w:pPr>
                              <w:pStyle w:val="a3"/>
                              <w:shd w:val="clear" w:color="auto" w:fill="auto"/>
                            </w:pPr>
                            <w:r>
                              <w:t xml:space="preserve">Дата " 13 " августа </w:t>
                            </w:r>
                            <w:r>
                              <w:t>2021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7.1pt;margin-top:72.55pt;width:129.1pt;height:11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c1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NhWp+90Ck73HbiZAbahy46p7u5k+V0jIdcNETt6o5TsG0oqyC60N/1nV0cc&#10;bUG2/SdZQRiyN9IBDbVqbemgGAjQoUuPp87YVEobcn6ZzBZwVMJZGC8uI9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" filled="f" stroked="f">
                <v:textbox style="mso-fit-shape-to-text:t" inset="0,0,0,0">
                  <w:txbxContent>
                    <w:p w:rsidR="00F148A7" w:rsidRDefault="00AD1D7F">
                      <w:pPr>
                        <w:pStyle w:val="a3"/>
                        <w:shd w:val="clear" w:color="auto" w:fill="auto"/>
                      </w:pPr>
                      <w:r>
                        <w:t xml:space="preserve">Дата " 13 " августа </w:t>
                      </w:r>
                      <w:r>
                        <w:t>2021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3425825</wp:posOffset>
            </wp:positionH>
            <wp:positionV relativeFrom="paragraph">
              <wp:posOffset>0</wp:posOffset>
            </wp:positionV>
            <wp:extent cx="1337945" cy="932815"/>
            <wp:effectExtent l="0" t="0" r="0" b="635"/>
            <wp:wrapNone/>
            <wp:docPr id="5" name="Рисунок 5" descr="C:\Users\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8A7" w:rsidRDefault="00F148A7">
      <w:pPr>
        <w:spacing w:line="360" w:lineRule="exact"/>
      </w:pPr>
    </w:p>
    <w:p w:rsidR="00F148A7" w:rsidRDefault="00F148A7">
      <w:pPr>
        <w:spacing w:line="360" w:lineRule="exact"/>
      </w:pPr>
    </w:p>
    <w:p w:rsidR="00F148A7" w:rsidRDefault="00F148A7">
      <w:pPr>
        <w:spacing w:line="645" w:lineRule="exact"/>
      </w:pPr>
    </w:p>
    <w:p w:rsidR="00F148A7" w:rsidRDefault="00F148A7">
      <w:pPr>
        <w:rPr>
          <w:sz w:val="2"/>
          <w:szCs w:val="2"/>
        </w:rPr>
        <w:sectPr w:rsidR="00F148A7">
          <w:type w:val="continuous"/>
          <w:pgSz w:w="16840" w:h="11900" w:orient="landscape"/>
          <w:pgMar w:top="2217" w:right="1360" w:bottom="2217" w:left="2616" w:header="0" w:footer="3" w:gutter="0"/>
          <w:cols w:space="720"/>
          <w:noEndnote/>
          <w:docGrid w:linePitch="360"/>
        </w:sectPr>
      </w:pPr>
    </w:p>
    <w:p w:rsidR="00F148A7" w:rsidRDefault="00F148A7">
      <w:pPr>
        <w:spacing w:line="239" w:lineRule="exact"/>
        <w:rPr>
          <w:sz w:val="19"/>
          <w:szCs w:val="19"/>
        </w:rPr>
      </w:pPr>
    </w:p>
    <w:p w:rsidR="00F148A7" w:rsidRDefault="00F148A7">
      <w:pPr>
        <w:rPr>
          <w:sz w:val="2"/>
          <w:szCs w:val="2"/>
        </w:rPr>
        <w:sectPr w:rsidR="00F148A7">
          <w:pgSz w:w="16840" w:h="11900" w:orient="landscape"/>
          <w:pgMar w:top="533" w:right="0" w:bottom="488" w:left="0" w:header="0" w:footer="3" w:gutter="0"/>
          <w:cols w:space="720"/>
          <w:noEndnote/>
          <w:docGrid w:linePitch="360"/>
        </w:sectPr>
      </w:pPr>
    </w:p>
    <w:p w:rsidR="00F148A7" w:rsidRDefault="00AD1D7F">
      <w:pPr>
        <w:pStyle w:val="60"/>
        <w:shd w:val="clear" w:color="auto" w:fill="auto"/>
        <w:ind w:left="5940" w:right="5280"/>
      </w:pPr>
      <w:r>
        <w:lastRenderedPageBreak/>
        <w:t>Показатели эффективности деятельности органов местного самоуправления ВЫШНЕВОЛОЦКОГО городского округа Тверской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123"/>
        <w:gridCol w:w="2227"/>
        <w:gridCol w:w="432"/>
        <w:gridCol w:w="408"/>
        <w:gridCol w:w="398"/>
        <w:gridCol w:w="658"/>
        <w:gridCol w:w="658"/>
        <w:gridCol w:w="658"/>
        <w:gridCol w:w="682"/>
        <w:gridCol w:w="2179"/>
      </w:tblGrid>
      <w:tr w:rsidR="00F148A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№ п/п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Наименование показателя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Единица измерения</w:t>
            </w:r>
          </w:p>
        </w:tc>
        <w:tc>
          <w:tcPr>
            <w:tcW w:w="389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Отчетная информация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Примечание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2017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2018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2021</w:t>
            </w:r>
          </w:p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план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2022</w:t>
            </w:r>
          </w:p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план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2023</w:t>
            </w:r>
          </w:p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план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8A7" w:rsidRDefault="00F148A7">
            <w:pPr>
              <w:framePr w:w="15936" w:wrap="notBeside" w:vAnchor="text" w:hAnchor="text" w:xAlign="center" w:y="1"/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11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9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I. Экономическое развитие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Единиц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0"/>
              </w:rPr>
              <w:t>'bss.i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355,1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355,1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355,1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19,9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19,9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19,9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19,9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Объем </w:t>
            </w:r>
            <w:r>
              <w:rPr>
                <w:rStyle w:val="26pt"/>
              </w:rPr>
              <w:t>инвестиций в основной капитал (за исключением бюджетных средств) в расчете на 1 жителя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16 302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16 302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16 302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20" w:firstLine="0"/>
              <w:jc w:val="left"/>
            </w:pPr>
            <w:r>
              <w:rPr>
                <w:rStyle w:val="26pt"/>
              </w:rPr>
              <w:t>16 302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площади земельных участков, являющихся объектами налогообложения земельным налогом, от общей площади территории </w:t>
            </w:r>
            <w:r>
              <w:rPr>
                <w:rStyle w:val="26pt"/>
              </w:rPr>
              <w:t>городского округа (муниципального района)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82,2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б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rStyle w:val="26pt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  <w:lang w:val="en-US" w:eastAsia="en-US" w:bidi="en-US"/>
              </w:rPr>
              <w:t>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населения, проживающего в населенных пунктах, не имеющих регулярного автобусного и (или) </w:t>
            </w:r>
            <w:r>
              <w:rPr>
                <w:rStyle w:val="26pt"/>
              </w:rPr>
              <w:t>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Среднемесячная номинальная начисленная </w:t>
            </w:r>
            <w:r>
              <w:rPr>
                <w:rStyle w:val="26pt"/>
              </w:rPr>
              <w:t>заработная плата работников: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крупных и средних предприятий и некоммерческих организаций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30 902,4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33 158,3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35 147,8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20" w:firstLine="0"/>
              <w:jc w:val="left"/>
            </w:pPr>
            <w:r>
              <w:rPr>
                <w:rStyle w:val="26pt"/>
              </w:rPr>
              <w:t>37 502,7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муниципальных дошкольных 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20 384,2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20690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20690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20" w:firstLine="0"/>
              <w:jc w:val="left"/>
            </w:pPr>
            <w:r>
              <w:rPr>
                <w:rStyle w:val="26pt"/>
              </w:rPr>
              <w:t>20690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муниципальных общеобразовательных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26 355,6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27 388,4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27 388,4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20" w:firstLine="0"/>
              <w:jc w:val="left"/>
            </w:pPr>
            <w:r>
              <w:rPr>
                <w:rStyle w:val="26pt"/>
              </w:rPr>
              <w:t>27 388,4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учителей муниципальных общеобразовательных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29 696,1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30 883,94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30 883,94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30 883,94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муниципальных учреждений культуры и </w:t>
            </w:r>
            <w:r>
              <w:rPr>
                <w:rStyle w:val="26pt"/>
              </w:rPr>
              <w:t>искусства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25 399,33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27 615,4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27615,4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27 615,4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муниципальных учреждений физической культуры и спорта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17 649,3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17 968,1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17 968,1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17 968,1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9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II. Дошкольное образование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детей в возрасте 1-6 лет, получающих </w:t>
            </w:r>
            <w:r>
              <w:rPr>
                <w:rStyle w:val="26pt"/>
              </w:rPr>
              <w:t>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69,4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70,5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20" w:firstLine="0"/>
              <w:jc w:val="left"/>
            </w:pPr>
            <w:r>
              <w:rPr>
                <w:rStyle w:val="26pt"/>
              </w:rPr>
              <w:t>71,5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детей в возрасте 1-6 лет, стоящих на учете для </w:t>
            </w:r>
            <w:r>
              <w:rPr>
                <w:rStyle w:val="26pt"/>
              </w:rPr>
              <w:t>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муниципальных дошкольных образовательных учреждений, здания которых находятся в аварийном состоянии или </w:t>
            </w:r>
            <w:r>
              <w:rPr>
                <w:rStyle w:val="26pt"/>
              </w:rPr>
              <w:t>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48A7" w:rsidRDefault="00F148A7">
      <w:pPr>
        <w:framePr w:w="15936" w:wrap="notBeside" w:vAnchor="text" w:hAnchor="text" w:xAlign="center" w:y="1"/>
        <w:rPr>
          <w:sz w:val="2"/>
          <w:szCs w:val="2"/>
        </w:rPr>
      </w:pPr>
    </w:p>
    <w:p w:rsidR="00F148A7" w:rsidRDefault="00F148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118"/>
        <w:gridCol w:w="2227"/>
        <w:gridCol w:w="427"/>
        <w:gridCol w:w="408"/>
        <w:gridCol w:w="398"/>
        <w:gridCol w:w="658"/>
        <w:gridCol w:w="662"/>
        <w:gridCol w:w="662"/>
        <w:gridCol w:w="677"/>
        <w:gridCol w:w="2179"/>
      </w:tblGrid>
      <w:tr w:rsidR="00F148A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95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lastRenderedPageBreak/>
              <w:t xml:space="preserve">Раздел </w:t>
            </w:r>
            <w:r>
              <w:rPr>
                <w:rStyle w:val="26pt"/>
                <w:lang w:val="en-US" w:eastAsia="en-US" w:bidi="en-US"/>
              </w:rPr>
              <w:t>III</w:t>
            </w:r>
            <w:r w:rsidRPr="003449E6">
              <w:rPr>
                <w:rStyle w:val="26pt"/>
                <w:lang w:eastAsia="en-US" w:bidi="en-US"/>
              </w:rPr>
              <w:t xml:space="preserve">. </w:t>
            </w:r>
            <w:r>
              <w:rPr>
                <w:rStyle w:val="26pt"/>
              </w:rPr>
              <w:t>Общее и дополнительное образование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Показатель исключен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left="18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left="16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left="16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Доля выпускников муниципальных </w:t>
            </w:r>
            <w:r>
              <w:rPr>
                <w:rStyle w:val="26pt"/>
              </w:rPr>
              <w:t>общеобразовательных учреждений, не получивших аттестат о среднем (полном)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  <w:lang w:val="en-US" w:eastAsia="en-US" w:bidi="en-US"/>
              </w:rPr>
              <w:t xml:space="preserve">t </w:t>
            </w:r>
            <w:r>
              <w:rPr>
                <w:rStyle w:val="26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Доля муниципальных общеобразовательных учреждений, </w:t>
            </w:r>
            <w:r>
              <w:rPr>
                <w:rStyle w:val="26pt"/>
              </w:rPr>
              <w:t>соответствующих современным требованиям обучения, в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общем количестве муниципальных общеобразовательных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, X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\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муниципальных общеобразовательных учреждений, здания которых находятся в аварийном состоянии или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детей первой и второй групп здоровья в общей численности, обучающихся в муниципальных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общеобразовательных учреждениях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87,2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87,2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87,2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87,2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обучающихся в муниципальных общеобразовательных учреждениях, занимающихся во вторую (третью) смену, в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общей численности обучающихся в муниципальных общеобразовательных учреждениях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.X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^ 3,9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0,75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18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Расходы бюджета муниципального образования на общее образование в расчете на 1 обучающегося в муниципальных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общеобразовательных учреждениях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Тыс. рублей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72,86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72,86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71,4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19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детей в возрасте 5-18 лет, получающих услуги по дополнительному</w:t>
            </w:r>
            <w:r>
              <w:rPr>
                <w:rStyle w:val="26pt"/>
              </w:rPr>
              <w:t xml:space="preserve"> образованию в организациях различной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IV. Культура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20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Уровень фактической обеспеченности учреждениями культуры </w:t>
            </w:r>
            <w:r>
              <w:rPr>
                <w:rStyle w:val="26pt"/>
              </w:rPr>
              <w:t>от нормативной потребности: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left="18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left="16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left="16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20.1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клубами и учреждениями клубного типа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95,83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20.2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библиотеками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161,9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161,9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161,9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161,9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20.3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парками культуры и отдыха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21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Доля </w:t>
            </w:r>
            <w:r>
              <w:rPr>
                <w:rStyle w:val="26pt"/>
              </w:rPr>
              <w:t>учреждений культуры, здания которых находятся в аварийном состоянии или требуют капитального ремонта, в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общем количестве муниципальных учреждений культуры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'0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Доля объектов культурного наследия, находящихся в муниципальной </w:t>
            </w:r>
            <w:r>
              <w:rPr>
                <w:rStyle w:val="26pt"/>
              </w:rPr>
              <w:t>собственности и требующих консервации или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V. Физическая культура и спорт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200" w:firstLine="0"/>
              <w:jc w:val="right"/>
            </w:pPr>
            <w:r>
              <w:rPr>
                <w:rStyle w:val="26pt"/>
              </w:rPr>
              <w:t>23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Доля населения, систематически </w:t>
            </w:r>
            <w:r>
              <w:rPr>
                <w:rStyle w:val="26pt"/>
              </w:rPr>
              <w:t>занимающегося физической культурой и спортом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38,72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38,8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39,0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39,5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23(1)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обучающихся, систематически занимающихся физической культурой и спортом, в общей численности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обучающихся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74,04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74,5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76,0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81,0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 xml:space="preserve">Раздел VI. </w:t>
            </w:r>
            <w:r>
              <w:rPr>
                <w:rStyle w:val="26pt"/>
              </w:rPr>
              <w:t>Жилищное строительство и обеспечение граждан жильем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Кв. метров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32,62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32,62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32,62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32,62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24.1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в том числе введенная в действие за один год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Кв. метров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Площадь земельных участков, предоставленных для строительства в расчете на 10 тыс. человек населения, -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всего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Гектаров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4,1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25.1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26pt"/>
              </w:rPr>
              <w:t xml:space="preserve">в том числе земельных участков, предоставленных для жилищного строительства, индивидуального </w:t>
            </w:r>
            <w:r>
              <w:rPr>
                <w:rStyle w:val="26pt"/>
              </w:rPr>
              <w:t>строительства и комплексного освоения в целях жилищного строительства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Г ектаров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26pt"/>
              </w:rPr>
              <w:t>Площадь земельных участков, предоставленных для строительства, в отношении которых с даты принятия</w:t>
            </w:r>
          </w:p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26pt"/>
              </w:rPr>
              <w:t xml:space="preserve">решения о предоставлении земельного участка или </w:t>
            </w:r>
            <w:r>
              <w:rPr>
                <w:rStyle w:val="26pt"/>
              </w:rPr>
              <w:t>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left="16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left="16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26.1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объектов жилищного строительства - в течение 3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Кв. метров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' </w:t>
            </w: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80 000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78 000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75 000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40" w:firstLine="0"/>
              <w:jc w:val="left"/>
            </w:pPr>
            <w:r>
              <w:rPr>
                <w:rStyle w:val="26pt"/>
              </w:rPr>
              <w:t>73 000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26.2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иных </w:t>
            </w:r>
            <w:r>
              <w:rPr>
                <w:rStyle w:val="26pt"/>
              </w:rPr>
              <w:t>объектов капитального строительства - в течение 5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Кв. метров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21 000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20 000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18 000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40" w:firstLine="0"/>
              <w:jc w:val="left"/>
            </w:pPr>
            <w:r>
              <w:rPr>
                <w:rStyle w:val="26pt"/>
              </w:rPr>
              <w:t>15 000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48A7" w:rsidRDefault="00F148A7">
      <w:pPr>
        <w:framePr w:w="15960" w:wrap="notBeside" w:vAnchor="text" w:hAnchor="text" w:xAlign="center" w:y="1"/>
        <w:rPr>
          <w:sz w:val="2"/>
          <w:szCs w:val="2"/>
        </w:rPr>
      </w:pPr>
    </w:p>
    <w:p w:rsidR="00F148A7" w:rsidRDefault="00F148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123"/>
        <w:gridCol w:w="2232"/>
        <w:gridCol w:w="427"/>
        <w:gridCol w:w="403"/>
        <w:gridCol w:w="398"/>
        <w:gridCol w:w="653"/>
        <w:gridCol w:w="667"/>
        <w:gridCol w:w="662"/>
        <w:gridCol w:w="677"/>
        <w:gridCol w:w="2160"/>
      </w:tblGrid>
      <w:tr w:rsidR="00F148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9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lastRenderedPageBreak/>
              <w:t>Раздел VII. Жилищно-коммунальное хозяйство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27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tabs>
                <w:tab w:val="left" w:pos="6845"/>
              </w:tabs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многоквартирных домов, в которых собственники помещений выбрали и реализуют один из способов </w:t>
            </w:r>
            <w:r>
              <w:rPr>
                <w:rStyle w:val="26pt"/>
              </w:rPr>
              <w:t>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  <w:r>
              <w:rPr>
                <w:rStyle w:val="26pt"/>
              </w:rPr>
              <w:tab/>
              <w:t>&amp;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left"/>
            </w:pPr>
            <w:r>
              <w:rPr>
                <w:rStyle w:val="2Consolas18pt"/>
              </w:rPr>
              <w:t>V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98,1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98,2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98,3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28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26pt"/>
              </w:rPr>
              <w:t xml:space="preserve">Доля организаций коммунального комплекса, осуществляющих </w:t>
            </w:r>
            <w:r>
              <w:rPr>
                <w:rStyle w:val="26pt"/>
              </w:rPr>
              <w:t>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</w:t>
            </w:r>
            <w:r>
              <w:rPr>
                <w:rStyle w:val="26pt"/>
              </w:rPr>
              <w:t>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</w:t>
            </w:r>
            <w:r>
              <w:rPr>
                <w:rStyle w:val="26pt"/>
              </w:rPr>
              <w:t>сть на территории городского округа (муниципального района)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422" w:lineRule="exact"/>
              <w:ind w:left="160" w:firstLine="0"/>
              <w:jc w:val="left"/>
            </w:pPr>
            <w:r>
              <w:rPr>
                <w:rStyle w:val="2Consolas18pt"/>
              </w:rPr>
              <w:t>ч</w:t>
            </w:r>
          </w:p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29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  <w:vertAlign w:val="superscript"/>
              </w:rPr>
              <w:t>Л</w:t>
            </w:r>
            <w:r>
              <w:rPr>
                <w:rStyle w:val="26pt"/>
              </w:rPr>
              <w:t>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30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26pt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9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 xml:space="preserve">Раздел VIII. Организация </w:t>
            </w:r>
            <w:r>
              <w:rPr>
                <w:rStyle w:val="26pt"/>
              </w:rPr>
              <w:t>муниципального управления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</w:t>
            </w:r>
            <w:r>
              <w:rPr>
                <w:rStyle w:val="26pt"/>
              </w:rPr>
              <w:t>субвенций)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28,37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34,55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34,03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26pt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</w:t>
            </w:r>
            <w:r>
              <w:rPr>
                <w:rStyle w:val="26pt"/>
              </w:rPr>
              <w:t>стоимости)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3,89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3,89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3,89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3,89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26pt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Тыс. рублей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просроченной кредиторской </w:t>
            </w:r>
            <w:r>
              <w:rPr>
                <w:rStyle w:val="26pt"/>
              </w:rPr>
              <w:t>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26pt"/>
              </w:rPr>
              <w:t xml:space="preserve">Расходы бюджета муниципального </w:t>
            </w:r>
            <w:r>
              <w:rPr>
                <w:rStyle w:val="26pt"/>
              </w:rPr>
              <w:t>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1 349,0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1 507,68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1 535,66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1 563,49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Наличие в городском округе (муниципальном районе) утвержденного генерального </w:t>
            </w:r>
            <w:r>
              <w:rPr>
                <w:rStyle w:val="26pt"/>
              </w:rPr>
              <w:t>плана городского округа (схемы территориального планирования муниципального района)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да -1 / нет - 0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26pt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Процентов от числа </w:t>
            </w:r>
            <w:r>
              <w:rPr>
                <w:rStyle w:val="26pt"/>
              </w:rPr>
              <w:t>опрошенных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Среднегодовая численность постоянного населения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Тыс. человек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66,83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right"/>
            </w:pPr>
            <w:r>
              <w:rPr>
                <w:rStyle w:val="26pt"/>
              </w:rPr>
              <w:t>65,63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right"/>
            </w:pPr>
            <w:r>
              <w:rPr>
                <w:rStyle w:val="26pt"/>
              </w:rPr>
              <w:t>64,43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right"/>
            </w:pPr>
            <w:r>
              <w:rPr>
                <w:rStyle w:val="26pt"/>
              </w:rPr>
              <w:t>63,23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9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IX. Энергосбережение и повышение энергетической эффективности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Удельная величина потребления энергетических ресурсов в </w:t>
            </w:r>
            <w:r>
              <w:rPr>
                <w:rStyle w:val="26pt"/>
              </w:rPr>
              <w:t>многоквартирных домах: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2" w:lineRule="exact"/>
              <w:ind w:left="18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2" w:lineRule="exact"/>
              <w:ind w:left="16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2" w:lineRule="exact"/>
              <w:ind w:left="16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2" w:lineRule="exact"/>
              <w:ind w:firstLine="0"/>
            </w:pPr>
            <w:r>
              <w:rPr>
                <w:rStyle w:val="2BookAntiqua65pt"/>
              </w:rPr>
              <w:t>X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электрическая энергия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кВтч на 1 проживающего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648,6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648,6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648,6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648,6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39.2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тепловая энергия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Гкал на 1 кв. метр общей площади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39.3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горячая 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Куб. метров на 1 проживающего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31,4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31,4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31,4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31,4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39.4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холодная 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Куб. метров на 1 проживающего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48,46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48,46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48,46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48,46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39.5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природный газ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Куб. метров на 1 проживающего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192,65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192,65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192,65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192,65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Удельная величина потребления энергетических ресурсов </w:t>
            </w:r>
            <w:r>
              <w:rPr>
                <w:rStyle w:val="26pt"/>
              </w:rPr>
              <w:t>муниципальными бюджетными учреждениями: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2" w:lineRule="exact"/>
              <w:ind w:left="18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2" w:lineRule="exact"/>
              <w:ind w:left="160" w:firstLine="0"/>
              <w:jc w:val="left"/>
            </w:pPr>
            <w:r>
              <w:rPr>
                <w:rStyle w:val="2BookAntiqua6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электрическая энергия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кВт/ч на 1 человека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40.2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тепловая энергия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right"/>
            </w:pPr>
            <w:r>
              <w:rPr>
                <w:rStyle w:val="26pt"/>
              </w:rPr>
              <w:t xml:space="preserve">Гкал на 1 кв. метр общей площади </w:t>
            </w:r>
            <w:r>
              <w:rPr>
                <w:rStyle w:val="24pt"/>
              </w:rPr>
              <w:t>&gt;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40.3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горячая 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Куб. метров на 1 </w:t>
            </w:r>
            <w:r>
              <w:rPr>
                <w:rStyle w:val="26pt"/>
              </w:rPr>
              <w:t>человека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40.4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холодная 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Куб. метров на 1 человека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40.5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природный газ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Куб. метр на 1 человека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54" w:lineRule="exact"/>
              <w:ind w:firstLine="0"/>
              <w:jc w:val="left"/>
            </w:pPr>
            <w:r>
              <w:rPr>
                <w:rStyle w:val="26pt"/>
              </w:rPr>
              <w:t xml:space="preserve">Результаты независимой оценки качества условий оказания </w:t>
            </w:r>
            <w:r>
              <w:rPr>
                <w:rStyle w:val="26pt"/>
              </w:rPr>
              <w:t>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</w:t>
            </w:r>
            <w:r>
              <w:rPr>
                <w:rStyle w:val="26pt"/>
              </w:rPr>
              <w:t>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41.1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в сфере</w:t>
            </w:r>
            <w:r>
              <w:rPr>
                <w:rStyle w:val="26pt"/>
              </w:rPr>
              <w:t xml:space="preserve"> культуры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баллы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84,33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48A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41.2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в сфере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баллы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8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12" w:lineRule="exact"/>
              <w:ind w:left="160" w:firstLine="0"/>
              <w:jc w:val="left"/>
            </w:pPr>
            <w:r>
              <w:rPr>
                <w:rStyle w:val="2BookAntiqua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8A7" w:rsidRDefault="00AD1D7F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8A7" w:rsidRDefault="00F148A7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48A7" w:rsidRDefault="00F148A7">
      <w:pPr>
        <w:framePr w:w="15931" w:wrap="notBeside" w:vAnchor="text" w:hAnchor="text" w:xAlign="center" w:y="1"/>
        <w:rPr>
          <w:sz w:val="2"/>
          <w:szCs w:val="2"/>
        </w:rPr>
      </w:pPr>
    </w:p>
    <w:p w:rsidR="00F148A7" w:rsidRDefault="00F148A7">
      <w:pPr>
        <w:rPr>
          <w:sz w:val="2"/>
          <w:szCs w:val="2"/>
        </w:rPr>
      </w:pPr>
    </w:p>
    <w:p w:rsidR="00F148A7" w:rsidRDefault="00F148A7">
      <w:pPr>
        <w:rPr>
          <w:sz w:val="2"/>
          <w:szCs w:val="2"/>
        </w:rPr>
      </w:pPr>
    </w:p>
    <w:sectPr w:rsidR="00F148A7">
      <w:type w:val="continuous"/>
      <w:pgSz w:w="16840" w:h="11900" w:orient="landscape"/>
      <w:pgMar w:top="533" w:right="179" w:bottom="488" w:left="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7F" w:rsidRDefault="00AD1D7F">
      <w:r>
        <w:separator/>
      </w:r>
    </w:p>
  </w:endnote>
  <w:endnote w:type="continuationSeparator" w:id="0">
    <w:p w:rsidR="00AD1D7F" w:rsidRDefault="00AD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5020503050A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7F" w:rsidRDefault="00AD1D7F"/>
  </w:footnote>
  <w:footnote w:type="continuationSeparator" w:id="0">
    <w:p w:rsidR="00AD1D7F" w:rsidRDefault="00AD1D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E3"/>
    <w:multiLevelType w:val="multilevel"/>
    <w:tmpl w:val="0B3C5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98706B"/>
    <w:multiLevelType w:val="multilevel"/>
    <w:tmpl w:val="0B981A66"/>
    <w:lvl w:ilvl="0">
      <w:start w:val="3"/>
      <w:numFmt w:val="decimal"/>
      <w:lvlText w:val="14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40644A"/>
    <w:multiLevelType w:val="multilevel"/>
    <w:tmpl w:val="8B5A7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6A5911"/>
    <w:multiLevelType w:val="multilevel"/>
    <w:tmpl w:val="67F80CE2"/>
    <w:lvl w:ilvl="0">
      <w:start w:val="3"/>
      <w:numFmt w:val="decimal"/>
      <w:lvlText w:val="9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A7"/>
    <w:rsid w:val="003449E6"/>
    <w:rsid w:val="00AD1D7F"/>
    <w:rsid w:val="00F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Antiqua45pt">
    <w:name w:val="Основной текст (2) + Book Antiqua;4;5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BookAntiqua65pt">
    <w:name w:val="Основной текст (2) + Book Antiqua;6;5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Antiqua45pt0pt">
    <w:name w:val="Основной текст (2) + Book Antiqua;4;5 pt;Интервал 0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nsolas18pt">
    <w:name w:val="Основной текст (2) + Consolas;18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320" w:line="359" w:lineRule="exact"/>
      <w:ind w:hanging="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80" w:line="269" w:lineRule="exact"/>
      <w:ind w:firstLine="18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ind w:hanging="62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Antiqua45pt">
    <w:name w:val="Основной текст (2) + Book Antiqua;4;5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BookAntiqua65pt">
    <w:name w:val="Основной текст (2) + Book Antiqua;6;5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Antiqua45pt0pt">
    <w:name w:val="Основной текст (2) + Book Antiqua;4;5 pt;Интервал 0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nsolas18pt">
    <w:name w:val="Основной текст (2) + Consolas;18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320" w:line="359" w:lineRule="exact"/>
      <w:ind w:hanging="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80" w:line="269" w:lineRule="exact"/>
      <w:ind w:firstLine="18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ind w:hanging="6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6637</Words>
  <Characters>37834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2021-08-20T11:47:00Z</dcterms:created>
  <dcterms:modified xsi:type="dcterms:W3CDTF">2021-08-20T11:48:00Z</dcterms:modified>
</cp:coreProperties>
</file>