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7" w:rsidRDefault="00B63E11">
      <w:r w:rsidRPr="006B4D5C">
        <w:rPr>
          <w:noProof/>
          <w:color w:val="3366FF"/>
          <w:lang w:eastAsia="ru-RU"/>
        </w:rPr>
        <w:drawing>
          <wp:inline distT="0" distB="0" distL="0" distR="0" wp14:anchorId="24AF9022" wp14:editId="7E391EF9">
            <wp:extent cx="6848475" cy="9134475"/>
            <wp:effectExtent l="0" t="0" r="28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93617" w:rsidSect="00B63E1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14176B"/>
    <w:rsid w:val="00196958"/>
    <w:rsid w:val="001B72BA"/>
    <w:rsid w:val="002779A9"/>
    <w:rsid w:val="006B4D5C"/>
    <w:rsid w:val="00725FE6"/>
    <w:rsid w:val="00B63E11"/>
    <w:rsid w:val="00B93617"/>
    <w:rsid w:val="00E722D6"/>
    <w:rsid w:val="00E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19975980053952"/>
          <c:y val="0"/>
          <c:w val="0.70334627733291777"/>
          <c:h val="0.8639922721908356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A31192"/>
              </a:solidFill>
            </c:spPr>
          </c:dPt>
          <c:dPt>
            <c:idx val="2"/>
            <c:bubble3D val="0"/>
            <c:spPr>
              <a:solidFill>
                <a:srgbClr val="2EC9DE"/>
              </a:solidFill>
            </c:spPr>
          </c:dPt>
          <c:dPt>
            <c:idx val="3"/>
            <c:bubble3D val="0"/>
            <c:spPr>
              <a:solidFill>
                <a:srgbClr val="20EC73"/>
              </a:solidFill>
            </c:spPr>
          </c:dPt>
          <c:dPt>
            <c:idx val="4"/>
            <c:bubble3D val="0"/>
            <c:spPr>
              <a:solidFill>
                <a:srgbClr val="EFEF1D"/>
              </a:solidFill>
            </c:spPr>
          </c:dPt>
          <c:dPt>
            <c:idx val="5"/>
            <c:bubble3D val="0"/>
            <c:spPr>
              <a:solidFill>
                <a:srgbClr val="EE58DC"/>
              </a:solidFill>
            </c:spPr>
          </c:dPt>
          <c:dPt>
            <c:idx val="6"/>
            <c:bubble3D val="0"/>
            <c:spPr>
              <a:solidFill>
                <a:srgbClr val="FB1111"/>
              </a:solidFill>
            </c:spPr>
          </c:dPt>
          <c:dPt>
            <c:idx val="7"/>
            <c:bubble3D val="0"/>
            <c:spPr>
              <a:solidFill>
                <a:srgbClr val="96F814"/>
              </a:solidFill>
            </c:spPr>
          </c:dPt>
          <c:dPt>
            <c:idx val="8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9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0"/>
            <c:bubble3D val="0"/>
            <c:spPr>
              <a:solidFill>
                <a:srgbClr val="1B1BF1"/>
              </a:solidFill>
            </c:spPr>
          </c:dPt>
          <c:dLbls>
            <c:dLbl>
              <c:idx val="1"/>
              <c:layout>
                <c:manualLayout>
                  <c:x val="-7.6156078543033301E-2"/>
                  <c:y val="-6.3368283344144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952493073275442E-2"/>
                  <c:y val="-8.361816086857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0752758825869992E-2"/>
                  <c:y val="-8.8809373280894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640565965415658E-2"/>
                  <c:y val="-7.2824984468182349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234263525304461E-2"/>
                  <c:y val="3.2956433239653016E-3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056315457090776E-2"/>
                  <c:y val="-4.8224336921388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902779700845956E-2"/>
                  <c:y val="-7.5045292827844223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853503266083056E-2"/>
                  <c:y val="9.3244983116521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999459610055961E-2"/>
                  <c:y val="-2.1341928407664364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 rot="0"/>
              <a:lstStyle/>
              <a:p>
                <a:pPr>
                  <a:defRPr sz="24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 КВАРТАЛ'!$B$4:$B$14</c:f>
              <c:strCache>
                <c:ptCount val="11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8">
                  <c:v>Градостроительство и архитектура</c:v>
                </c:pt>
                <c:pt idx="9">
                  <c:v>С/х и торговля</c:v>
                </c:pt>
                <c:pt idx="10">
                  <c:v>Прочее</c:v>
                </c:pt>
              </c:strCache>
            </c:strRef>
          </c:cat>
          <c:val>
            <c:numRef>
              <c:f>'1 КВАРТАЛ'!$C$4:$C$14</c:f>
              <c:numCache>
                <c:formatCode>General</c:formatCode>
                <c:ptCount val="11"/>
                <c:pt idx="0">
                  <c:v>65</c:v>
                </c:pt>
                <c:pt idx="1">
                  <c:v>15</c:v>
                </c:pt>
                <c:pt idx="2">
                  <c:v>22</c:v>
                </c:pt>
                <c:pt idx="3">
                  <c:v>24</c:v>
                </c:pt>
                <c:pt idx="4">
                  <c:v>16</c:v>
                </c:pt>
                <c:pt idx="5">
                  <c:v>5</c:v>
                </c:pt>
                <c:pt idx="6">
                  <c:v>9</c:v>
                </c:pt>
                <c:pt idx="7">
                  <c:v>6</c:v>
                </c:pt>
                <c:pt idx="8">
                  <c:v>17</c:v>
                </c:pt>
                <c:pt idx="9">
                  <c:v>4</c:v>
                </c:pt>
                <c:pt idx="10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8383795425739158E-3"/>
          <c:y val="0.57817017382656954"/>
          <c:w val="0.94064689227935672"/>
          <c:h val="0.41138791004062086"/>
        </c:manualLayout>
      </c:layout>
      <c:overlay val="0"/>
      <c:txPr>
        <a:bodyPr/>
        <a:lstStyle/>
        <a:p>
          <a:pPr>
            <a:defRPr sz="1200" baseline="0">
              <a:solidFill>
                <a:sysClr val="windowText" lastClr="000000"/>
              </a:solidFill>
              <a:latin typeface="Bookman Old Style" panose="020506040505050202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0.03127</cdr:x>
      <cdr:y>0.0248</cdr:y>
    </cdr:from>
    <cdr:to>
      <cdr:x>0.10328</cdr:x>
      <cdr:y>0.31534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2365" y="166298"/>
          <a:ext cx="489043" cy="1948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just"/>
          <a:r>
            <a:rPr lang="ru-RU" sz="16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обращений, поступивших в Администрацию Вышневолоцкого </a:t>
          </a:r>
        </a:p>
        <a:p xmlns:a="http://schemas.openxmlformats.org/drawingml/2006/main">
          <a:pPr algn="just"/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городского округа за </a:t>
          </a:r>
          <a:r>
            <a:rPr lang="en-US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квартал 2021 года, в соответствии  с Федеральным</a:t>
          </a:r>
        </a:p>
        <a:p xmlns:a="http://schemas.openxmlformats.org/drawingml/2006/main">
          <a:pPr algn="just"/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законом "О порядке  рассмотрения обращений граждан Российской </a:t>
          </a:r>
        </a:p>
        <a:p xmlns:a="http://schemas.openxmlformats.org/drawingml/2006/main">
          <a:pPr algn="just"/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Федерации" от 02.05.2006 № 59-ФЗ</a:t>
          </a:r>
        </a:p>
        <a:p xmlns:a="http://schemas.openxmlformats.org/drawingml/2006/main"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0.62534</cdr:x>
      <cdr:y>0.17831</cdr:y>
    </cdr:from>
    <cdr:to>
      <cdr:x>0.85112</cdr:x>
      <cdr:y>0.23358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82625" y="1628775"/>
          <a:ext cx="1546249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</a:t>
          </a:r>
          <a:r>
            <a: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214 обращений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8</cp:revision>
  <dcterms:created xsi:type="dcterms:W3CDTF">2021-04-02T11:49:00Z</dcterms:created>
  <dcterms:modified xsi:type="dcterms:W3CDTF">2021-10-20T11:26:00Z</dcterms:modified>
</cp:coreProperties>
</file>