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E8" w:rsidRPr="00105377" w:rsidRDefault="00391C31" w:rsidP="00B97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 w:rsidR="00673CC8" w:rsidRPr="003C672B">
        <w:rPr>
          <w:rFonts w:ascii="Times New Roman" w:hAnsi="Times New Roman" w:cs="Times New Roman"/>
          <w:b/>
          <w:sz w:val="24"/>
        </w:rPr>
        <w:t>Финансово-экономическое обоснование принятия правового акта</w:t>
      </w:r>
    </w:p>
    <w:p w:rsidR="00B263E8" w:rsidRPr="00105377" w:rsidRDefault="00B263E8" w:rsidP="00B97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5377">
        <w:rPr>
          <w:rFonts w:ascii="Times New Roman" w:hAnsi="Times New Roman" w:cs="Times New Roman"/>
          <w:b/>
          <w:sz w:val="24"/>
        </w:rPr>
        <w:t>проект</w:t>
      </w:r>
      <w:r w:rsidR="00673CC8">
        <w:rPr>
          <w:rFonts w:ascii="Times New Roman" w:hAnsi="Times New Roman" w:cs="Times New Roman"/>
          <w:b/>
          <w:sz w:val="24"/>
        </w:rPr>
        <w:t>а</w:t>
      </w:r>
      <w:r w:rsidRPr="00105377">
        <w:rPr>
          <w:rFonts w:ascii="Times New Roman" w:hAnsi="Times New Roman" w:cs="Times New Roman"/>
          <w:b/>
          <w:sz w:val="24"/>
        </w:rPr>
        <w:t xml:space="preserve"> решения Думы Вышневолоцкого городского округа</w:t>
      </w:r>
    </w:p>
    <w:p w:rsidR="00710392" w:rsidRDefault="00710392" w:rsidP="00B9790E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0392">
        <w:rPr>
          <w:rFonts w:ascii="Times New Roman" w:hAnsi="Times New Roman" w:cs="Times New Roman"/>
          <w:b/>
          <w:sz w:val="24"/>
        </w:rPr>
        <w:t>О внесении изменений в решение Думы Вышневолоцкого городского округа от 25.12.2020 № 236 «Об утверждении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округа»</w:t>
      </w:r>
    </w:p>
    <w:p w:rsidR="00B9790E" w:rsidRDefault="00B9790E" w:rsidP="00B9790E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63E8" w:rsidRDefault="00B263E8" w:rsidP="00B979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решения Думы Вышневолоцкого городского округа </w:t>
      </w:r>
      <w:r w:rsidR="00710392">
        <w:rPr>
          <w:rFonts w:ascii="Times New Roman" w:hAnsi="Times New Roman" w:cs="Times New Roman"/>
          <w:sz w:val="24"/>
        </w:rPr>
        <w:t>«</w:t>
      </w:r>
      <w:r w:rsidR="00710392" w:rsidRPr="00710392">
        <w:rPr>
          <w:rFonts w:ascii="Times New Roman" w:hAnsi="Times New Roman" w:cs="Times New Roman"/>
          <w:sz w:val="24"/>
        </w:rPr>
        <w:t>О внесении изменений в решение Думы Вышневолоцкого городского округа от 25.12.2020 № 236 «Об утверждении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округа»</w:t>
      </w:r>
      <w:r w:rsidR="007103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(далее – проект РД) подготовлен</w:t>
      </w:r>
      <w:r w:rsidR="00710392" w:rsidRPr="00710392">
        <w:rPr>
          <w:sz w:val="26"/>
          <w:szCs w:val="26"/>
        </w:rPr>
        <w:t xml:space="preserve"> </w:t>
      </w:r>
      <w:r w:rsidR="00710392" w:rsidRPr="00710392">
        <w:rPr>
          <w:rFonts w:ascii="Times New Roman" w:hAnsi="Times New Roman" w:cs="Times New Roman"/>
          <w:sz w:val="24"/>
        </w:rPr>
        <w:t>связи с протестом Вышневолоцкого межрайонного прокурора</w:t>
      </w:r>
      <w:r>
        <w:rPr>
          <w:rFonts w:ascii="Times New Roman" w:hAnsi="Times New Roman" w:cs="Times New Roman"/>
          <w:sz w:val="24"/>
        </w:rPr>
        <w:t xml:space="preserve"> в целях </w:t>
      </w:r>
      <w:r w:rsidR="009B4C1C">
        <w:rPr>
          <w:rFonts w:ascii="Times New Roman" w:hAnsi="Times New Roman" w:cs="Times New Roman"/>
          <w:sz w:val="24"/>
        </w:rPr>
        <w:t xml:space="preserve">определения размера арендной платы за пользование земельными участками, государственная собственность на которые не разграничена  на территории Вышневолоцкого городского округа </w:t>
      </w:r>
      <w:r w:rsidR="00710392">
        <w:rPr>
          <w:rFonts w:ascii="Times New Roman" w:hAnsi="Times New Roman" w:cs="Times New Roman"/>
          <w:sz w:val="24"/>
        </w:rPr>
        <w:t xml:space="preserve">с видом разрешенного использования «Связь» </w:t>
      </w:r>
      <w:r w:rsidR="009B4C1C">
        <w:rPr>
          <w:rFonts w:ascii="Times New Roman" w:hAnsi="Times New Roman" w:cs="Times New Roman"/>
          <w:sz w:val="24"/>
        </w:rPr>
        <w:t>с 01.01.2021.</w:t>
      </w:r>
    </w:p>
    <w:p w:rsidR="00C31078" w:rsidRPr="00C31078" w:rsidRDefault="00C31078" w:rsidP="00B979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31078">
          <w:rPr>
            <w:rFonts w:ascii="Times New Roman" w:hAnsi="Times New Roman" w:cs="Times New Roman"/>
            <w:sz w:val="24"/>
            <w:szCs w:val="24"/>
          </w:rPr>
          <w:t>п. 1 ст. 39.7</w:t>
        </w:r>
      </w:hyperlink>
      <w:r w:rsidRPr="00C31078">
        <w:rPr>
          <w:rFonts w:ascii="Times New Roman" w:hAnsi="Times New Roman" w:cs="Times New Roman"/>
          <w:sz w:val="24"/>
          <w:szCs w:val="24"/>
        </w:rPr>
        <w:t xml:space="preserve"> ЗК РФ размер арендной платы за земельный участок, находящийся в государственной или муниципальной собственности, определяется в соответствии с основными </w:t>
      </w:r>
      <w:hyperlink r:id="rId6" w:history="1">
        <w:r w:rsidRPr="00C31078">
          <w:rPr>
            <w:rFonts w:ascii="Times New Roman" w:hAnsi="Times New Roman" w:cs="Times New Roman"/>
            <w:sz w:val="24"/>
            <w:szCs w:val="24"/>
          </w:rPr>
          <w:t>принципами</w:t>
        </w:r>
      </w:hyperlink>
      <w:r w:rsidRPr="00C31078">
        <w:rPr>
          <w:rFonts w:ascii="Times New Roman" w:hAnsi="Times New Roman" w:cs="Times New Roman"/>
          <w:sz w:val="24"/>
          <w:szCs w:val="24"/>
        </w:rPr>
        <w:t xml:space="preserve"> определения арендной платы, установленными Правительством Российской Федерации.</w:t>
      </w:r>
    </w:p>
    <w:p w:rsidR="00C31078" w:rsidRPr="00C31078" w:rsidRDefault="00C31078" w:rsidP="00B979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7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16.07.2009 года N 582 </w:t>
      </w:r>
      <w:r w:rsidR="00B3551A">
        <w:rPr>
          <w:rFonts w:ascii="Times New Roman" w:hAnsi="Times New Roman" w:cs="Times New Roman"/>
          <w:sz w:val="24"/>
          <w:szCs w:val="24"/>
        </w:rPr>
        <w:t>«</w:t>
      </w:r>
      <w:r w:rsidRPr="00C31078">
        <w:rPr>
          <w:rFonts w:ascii="Times New Roman" w:hAnsi="Times New Roman" w:cs="Times New Roman"/>
          <w:sz w:val="24"/>
          <w:szCs w:val="24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B3551A">
        <w:rPr>
          <w:rFonts w:ascii="Times New Roman" w:hAnsi="Times New Roman" w:cs="Times New Roman"/>
          <w:sz w:val="24"/>
          <w:szCs w:val="24"/>
        </w:rPr>
        <w:t>»</w:t>
      </w:r>
      <w:r w:rsidRPr="00C31078">
        <w:rPr>
          <w:rFonts w:ascii="Times New Roman" w:hAnsi="Times New Roman" w:cs="Times New Roman"/>
          <w:sz w:val="24"/>
          <w:szCs w:val="24"/>
        </w:rPr>
        <w:t xml:space="preserve"> (далее Постановление N 582) утверждены основные </w:t>
      </w:r>
      <w:hyperlink r:id="rId7" w:history="1">
        <w:r w:rsidRPr="00C31078">
          <w:rPr>
            <w:rFonts w:ascii="Times New Roman" w:hAnsi="Times New Roman" w:cs="Times New Roman"/>
            <w:sz w:val="24"/>
            <w:szCs w:val="24"/>
          </w:rPr>
          <w:t>принципы</w:t>
        </w:r>
      </w:hyperlink>
      <w:r w:rsidRPr="00C31078">
        <w:rPr>
          <w:rFonts w:ascii="Times New Roman" w:hAnsi="Times New Roman" w:cs="Times New Roman"/>
          <w:sz w:val="24"/>
          <w:szCs w:val="24"/>
        </w:rPr>
        <w:t xml:space="preserve"> определения арендной платы при аренде земельных участков, находящихся в государственной или муниципальной собственности.</w:t>
      </w:r>
    </w:p>
    <w:p w:rsidR="00C31078" w:rsidRPr="00C31078" w:rsidRDefault="00C31078" w:rsidP="00B979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78">
        <w:rPr>
          <w:rFonts w:ascii="Times New Roman" w:hAnsi="Times New Roman" w:cs="Times New Roman"/>
          <w:sz w:val="24"/>
          <w:szCs w:val="24"/>
        </w:rPr>
        <w:t>В соответствии с принципом экономической обоснованности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участке.</w:t>
      </w:r>
    </w:p>
    <w:p w:rsidR="00C31078" w:rsidRPr="00C31078" w:rsidRDefault="00C31078" w:rsidP="00B979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7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C6C92" w:rsidRPr="00C31078">
        <w:rPr>
          <w:rFonts w:ascii="Times New Roman" w:hAnsi="Times New Roman" w:cs="Times New Roman"/>
          <w:sz w:val="24"/>
          <w:szCs w:val="24"/>
        </w:rPr>
        <w:t>принципу предсказуемости расчета размера арендной платы,</w:t>
      </w:r>
      <w:r w:rsidRPr="00C31078">
        <w:rPr>
          <w:rFonts w:ascii="Times New Roman" w:hAnsi="Times New Roman" w:cs="Times New Roman"/>
          <w:sz w:val="24"/>
          <w:szCs w:val="24"/>
        </w:rPr>
        <w:t xml:space="preserve"> нормативно правовыми актами органов государственной власти и органов местного самоуправления определяются: порядок расчета арендной платы и случаи, в которых возможен пересмотр размера арендной платы в одностороннем порядке по требованию арендодателя.</w:t>
      </w:r>
    </w:p>
    <w:p w:rsidR="00C31078" w:rsidRPr="00C31078" w:rsidRDefault="00C31078" w:rsidP="00B979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78">
        <w:rPr>
          <w:rFonts w:ascii="Times New Roman" w:hAnsi="Times New Roman" w:cs="Times New Roman"/>
          <w:sz w:val="24"/>
          <w:szCs w:val="24"/>
        </w:rPr>
        <w:t>Принципом запрета необоснованных предпочтений устанавливается, что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различаться;</w:t>
      </w:r>
    </w:p>
    <w:p w:rsidR="00C31078" w:rsidRPr="00C31078" w:rsidRDefault="00C31078" w:rsidP="00B979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78">
        <w:rPr>
          <w:rFonts w:ascii="Times New Roman" w:hAnsi="Times New Roman" w:cs="Times New Roman"/>
          <w:sz w:val="24"/>
          <w:szCs w:val="24"/>
        </w:rPr>
        <w:t xml:space="preserve">Из правового анализа </w:t>
      </w:r>
      <w:hyperlink r:id="rId8" w:history="1">
        <w:r w:rsidRPr="00C3107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31078">
        <w:rPr>
          <w:rFonts w:ascii="Times New Roman" w:hAnsi="Times New Roman" w:cs="Times New Roman"/>
          <w:sz w:val="24"/>
          <w:szCs w:val="24"/>
        </w:rPr>
        <w:t xml:space="preserve"> N 582 следует, что дифференциация ставки арендной платы возможна по критериям, определяющим экономическую характеристику той или иной категории земельных участков. В частности, вышеприведенная </w:t>
      </w:r>
      <w:hyperlink r:id="rId9" w:history="1">
        <w:r w:rsidRPr="00C31078">
          <w:rPr>
            <w:rFonts w:ascii="Times New Roman" w:hAnsi="Times New Roman" w:cs="Times New Roman"/>
            <w:sz w:val="24"/>
            <w:szCs w:val="24"/>
          </w:rPr>
          <w:t>норма</w:t>
        </w:r>
      </w:hyperlink>
      <w:r w:rsidRPr="00C31078">
        <w:rPr>
          <w:rFonts w:ascii="Times New Roman" w:hAnsi="Times New Roman" w:cs="Times New Roman"/>
          <w:sz w:val="24"/>
          <w:szCs w:val="24"/>
        </w:rPr>
        <w:t xml:space="preserve"> определяет, что критериями при определении доходности земельного участка являются категория земель и их разрешенное использование.</w:t>
      </w:r>
    </w:p>
    <w:p w:rsidR="00C31078" w:rsidRPr="00C31078" w:rsidRDefault="004D6B9D" w:rsidP="00B9790E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kern w:val="0"/>
          <w:sz w:val="24"/>
          <w:szCs w:val="24"/>
        </w:rPr>
      </w:pPr>
      <w:r w:rsidRPr="00C31078">
        <w:rPr>
          <w:b w:val="0"/>
          <w:bCs w:val="0"/>
          <w:kern w:val="0"/>
          <w:sz w:val="24"/>
          <w:szCs w:val="24"/>
        </w:rPr>
        <w:t>Методически</w:t>
      </w:r>
      <w:r>
        <w:rPr>
          <w:b w:val="0"/>
          <w:bCs w:val="0"/>
          <w:kern w:val="0"/>
          <w:sz w:val="24"/>
          <w:szCs w:val="24"/>
        </w:rPr>
        <w:t>е</w:t>
      </w:r>
      <w:r w:rsidRPr="00C31078">
        <w:rPr>
          <w:b w:val="0"/>
          <w:bCs w:val="0"/>
          <w:kern w:val="0"/>
          <w:sz w:val="24"/>
          <w:szCs w:val="24"/>
        </w:rPr>
        <w:t xml:space="preserve"> рекомендаци</w:t>
      </w:r>
      <w:r>
        <w:rPr>
          <w:b w:val="0"/>
          <w:bCs w:val="0"/>
          <w:kern w:val="0"/>
          <w:sz w:val="24"/>
          <w:szCs w:val="24"/>
        </w:rPr>
        <w:t>и</w:t>
      </w:r>
      <w:r w:rsidRPr="00C31078">
        <w:rPr>
          <w:b w:val="0"/>
          <w:bCs w:val="0"/>
          <w:kern w:val="0"/>
          <w:sz w:val="24"/>
          <w:szCs w:val="24"/>
        </w:rPr>
        <w:t xml:space="preserve">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</w:t>
      </w:r>
      <w:r>
        <w:rPr>
          <w:b w:val="0"/>
          <w:bCs w:val="0"/>
          <w:kern w:val="0"/>
          <w:sz w:val="24"/>
          <w:szCs w:val="24"/>
        </w:rPr>
        <w:t xml:space="preserve">утверждены </w:t>
      </w:r>
      <w:r w:rsidR="00C31078" w:rsidRPr="00C31078">
        <w:rPr>
          <w:b w:val="0"/>
          <w:bCs w:val="0"/>
          <w:kern w:val="0"/>
          <w:sz w:val="24"/>
          <w:szCs w:val="24"/>
        </w:rPr>
        <w:t>Приказ</w:t>
      </w:r>
      <w:r>
        <w:rPr>
          <w:b w:val="0"/>
          <w:bCs w:val="0"/>
          <w:kern w:val="0"/>
          <w:sz w:val="24"/>
          <w:szCs w:val="24"/>
        </w:rPr>
        <w:t>ом</w:t>
      </w:r>
      <w:r w:rsidR="00C31078" w:rsidRPr="00C31078">
        <w:rPr>
          <w:b w:val="0"/>
          <w:bCs w:val="0"/>
          <w:kern w:val="0"/>
          <w:sz w:val="24"/>
          <w:szCs w:val="24"/>
        </w:rPr>
        <w:t xml:space="preserve"> Минэкономразвития России от 29.12.2017 N 710 </w:t>
      </w:r>
      <w:r w:rsidR="00B3551A">
        <w:rPr>
          <w:b w:val="0"/>
          <w:bCs w:val="0"/>
          <w:kern w:val="0"/>
          <w:sz w:val="24"/>
          <w:szCs w:val="24"/>
        </w:rPr>
        <w:t>«</w:t>
      </w:r>
      <w:r w:rsidR="00C31078" w:rsidRPr="00C31078">
        <w:rPr>
          <w:b w:val="0"/>
          <w:bCs w:val="0"/>
          <w:kern w:val="0"/>
          <w:sz w:val="24"/>
          <w:szCs w:val="24"/>
        </w:rPr>
        <w:t>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г. N 582</w:t>
      </w:r>
      <w:r w:rsidR="00B3551A">
        <w:rPr>
          <w:b w:val="0"/>
          <w:bCs w:val="0"/>
          <w:kern w:val="0"/>
          <w:sz w:val="24"/>
          <w:szCs w:val="24"/>
        </w:rPr>
        <w:t>»</w:t>
      </w:r>
    </w:p>
    <w:p w:rsidR="00C31078" w:rsidRPr="00C31078" w:rsidRDefault="00C31078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C31078">
        <w:t>В целях применения Принципа N 1 рекомендуется при установлении порядка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в соответствии с </w:t>
      </w:r>
      <w:hyperlink r:id="rId10" w:anchor="000516" w:history="1">
        <w:r w:rsidRPr="00C31078">
          <w:t>пунктом 3 статьи 39.7</w:t>
        </w:r>
      </w:hyperlink>
      <w:r w:rsidRPr="00C31078">
        <w:t> Земельного кодекса Российской Федерации (далее - порядок определения размера арендной платы) предусматривать положения, направленные на достижение баланса интересов арендатора и арендодателя земельного участка, например, посредством установления экономически обоснованных ставок арендной платы или иных показателей, применяемых для определения арендной платы.</w:t>
      </w:r>
    </w:p>
    <w:p w:rsidR="00C31078" w:rsidRPr="00C31078" w:rsidRDefault="00C31078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bookmarkStart w:id="1" w:name="100013"/>
      <w:bookmarkEnd w:id="1"/>
      <w:r w:rsidRPr="00C31078">
        <w:t xml:space="preserve">В целях соблюдения интересов арендатора земельного участка при установлении ставок арендной платы целесообразно исходить из возможности арендатора земельного участка с учетом установленной </w:t>
      </w:r>
      <w:r w:rsidRPr="00C31078">
        <w:lastRenderedPageBreak/>
        <w:t>на основании таких ставок арендной платы при существующем уровне налогообложения, государственном регулировании тарифов на соответствующие товары (работы, услуги) и производственных затратах получать сложившуюся норму прибыли для отрасли, в которой арендатор осуществляет свою деятельность.</w:t>
      </w:r>
    </w:p>
    <w:p w:rsidR="00C31078" w:rsidRPr="00C31078" w:rsidRDefault="00C31078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bookmarkStart w:id="2" w:name="100014"/>
      <w:bookmarkEnd w:id="2"/>
      <w:r w:rsidRPr="00C31078">
        <w:t>При установлении ставки арендной платы рекомендуется в том числе учитывать:</w:t>
      </w:r>
    </w:p>
    <w:p w:rsidR="00C31078" w:rsidRPr="00C31078" w:rsidRDefault="00C31078" w:rsidP="00B9790E">
      <w:pPr>
        <w:pStyle w:val="pbot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baseline"/>
      </w:pPr>
      <w:bookmarkStart w:id="3" w:name="100015"/>
      <w:bookmarkEnd w:id="3"/>
      <w:r w:rsidRPr="00C31078">
        <w:t>положения документов, определяющих целевое назначение земельного участка;</w:t>
      </w:r>
    </w:p>
    <w:p w:rsidR="00C31078" w:rsidRPr="00C31078" w:rsidRDefault="00C31078" w:rsidP="00B9790E">
      <w:pPr>
        <w:pStyle w:val="pbot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baseline"/>
      </w:pPr>
      <w:bookmarkStart w:id="4" w:name="100016"/>
      <w:bookmarkEnd w:id="4"/>
      <w:r w:rsidRPr="00C31078">
        <w:t>наличие или отсутствие ограничений прав, установленных в отношении земельного участка (например, запреты и ограничения, связанные с установлением охранных и защитных зон);</w:t>
      </w:r>
    </w:p>
    <w:p w:rsidR="00C31078" w:rsidRPr="00C31078" w:rsidRDefault="00C31078" w:rsidP="00B9790E">
      <w:pPr>
        <w:pStyle w:val="pbot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baseline"/>
      </w:pPr>
      <w:bookmarkStart w:id="5" w:name="100017"/>
      <w:bookmarkEnd w:id="5"/>
      <w:r w:rsidRPr="00C31078">
        <w:t>возможность создания арендатором неотделимых улучшений земельного участка;</w:t>
      </w:r>
    </w:p>
    <w:p w:rsidR="00C31078" w:rsidRPr="00C31078" w:rsidRDefault="00C31078" w:rsidP="00B9790E">
      <w:pPr>
        <w:pStyle w:val="pbot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baseline"/>
      </w:pPr>
      <w:bookmarkStart w:id="6" w:name="100018"/>
      <w:bookmarkEnd w:id="6"/>
      <w:r w:rsidRPr="00C31078">
        <w:t>необходимость и объем затрат на подготовку или восстановление хозяйственной деятельности на земельном участке;</w:t>
      </w:r>
    </w:p>
    <w:p w:rsidR="00C31078" w:rsidRPr="00C31078" w:rsidRDefault="00C31078" w:rsidP="00B9790E">
      <w:pPr>
        <w:pStyle w:val="pbot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baseline"/>
      </w:pPr>
      <w:bookmarkStart w:id="7" w:name="100019"/>
      <w:bookmarkEnd w:id="7"/>
      <w:r w:rsidRPr="00C31078">
        <w:t>наличие права арендатора на передачу своих прав и обязанностей по договору аренды земельного участка третьим лицам (например, право на предоставление земельного участка в субаренду, передачу его в залог влияет на увеличение размера арендной платы);</w:t>
      </w:r>
    </w:p>
    <w:p w:rsidR="00C31078" w:rsidRPr="00C31078" w:rsidRDefault="00C31078" w:rsidP="00B9790E">
      <w:pPr>
        <w:pStyle w:val="pbot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baseline"/>
      </w:pPr>
      <w:bookmarkStart w:id="8" w:name="100020"/>
      <w:bookmarkEnd w:id="8"/>
      <w:r w:rsidRPr="00C31078">
        <w:t>субсидии, предоставляемые арендатору за счет бюджета в целях поддержки деятельности, осуществляемой им на данном земельном участке;</w:t>
      </w:r>
    </w:p>
    <w:p w:rsidR="00C31078" w:rsidRPr="00C31078" w:rsidRDefault="00C31078" w:rsidP="00B9790E">
      <w:pPr>
        <w:pStyle w:val="pbot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baseline"/>
      </w:pPr>
      <w:bookmarkStart w:id="9" w:name="100021"/>
      <w:bookmarkEnd w:id="9"/>
      <w:r w:rsidRPr="00C31078">
        <w:t>обстоятельства, имеющие значение для развития субъекта Российской Федерации или муниципального образования.</w:t>
      </w:r>
    </w:p>
    <w:p w:rsidR="004D6B9D" w:rsidRDefault="00AC6C92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bookmarkStart w:id="10" w:name="100022"/>
      <w:bookmarkEnd w:id="10"/>
      <w:r>
        <w:t>Применяя Принцип N</w:t>
      </w:r>
      <w:r w:rsidR="00C31078" w:rsidRPr="00C31078">
        <w:t>1 при подготовке порядка определения размера арендной платы рекомендуется учитывать, что на размер арендной платы или ставки арендной платы не могут влиять ограничения прав арендаторов, если в соответствии с законодательством Российской Федерации убытки, причиняемые такими ограничениями прав, подлежат возмещению за счет соответствующих бюджетов или лицами, в пользу которых ограничиваются права на земельные участки, а также лицами, деятельность которых вызвала необходимость установления охранных, санитарно-защитных зон и влечет за собой ограничение прав арендаторов земельных участков или ухудшение качества земель (</w:t>
      </w:r>
      <w:hyperlink r:id="rId11" w:anchor="001479" w:history="1">
        <w:r w:rsidR="00C31078" w:rsidRPr="00C31078">
          <w:t>статья 57</w:t>
        </w:r>
      </w:hyperlink>
      <w:r w:rsidR="00C31078" w:rsidRPr="00C31078">
        <w:t> Земельного кодекса Российской Федерации).</w:t>
      </w:r>
      <w:bookmarkStart w:id="11" w:name="100023"/>
      <w:bookmarkEnd w:id="11"/>
    </w:p>
    <w:p w:rsidR="00C31078" w:rsidRPr="00C31078" w:rsidRDefault="00C31078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C31078">
        <w:t>В порядок определения размера арендной платы рекомендуется включать положения, направленные на реализацию требований об ограничении размера арендной платы, установленных нормами законодательства Российской Федерации (например, в случаях, предусмотренных </w:t>
      </w:r>
      <w:hyperlink r:id="rId12" w:anchor="001515" w:history="1">
        <w:r w:rsidRPr="00C31078">
          <w:t>пунктами 4</w:t>
        </w:r>
      </w:hyperlink>
      <w:r w:rsidRPr="00C31078">
        <w:t> и </w:t>
      </w:r>
      <w:hyperlink r:id="rId13" w:anchor="000521" w:history="1">
        <w:r w:rsidRPr="00C31078">
          <w:t>5 статьи 39.7</w:t>
        </w:r>
      </w:hyperlink>
      <w:r w:rsidRPr="00C31078">
        <w:t> Земельного кодекса Российской Федерации).</w:t>
      </w:r>
    </w:p>
    <w:p w:rsidR="00C31078" w:rsidRDefault="00C31078" w:rsidP="00B979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78">
        <w:rPr>
          <w:rFonts w:ascii="Times New Roman" w:hAnsi="Times New Roman" w:cs="Times New Roman"/>
          <w:sz w:val="24"/>
          <w:szCs w:val="24"/>
        </w:rPr>
        <w:t xml:space="preserve"> Соблюдение принципа экономической обоснованности компетентным муниципальным органом должно быть доказано путем представления соответствующих расчетов (показывающих доходность земельных участков), а также документов, содержащих многофакторный анализ оценочных характеристик земельных участков.</w:t>
      </w:r>
    </w:p>
    <w:p w:rsidR="000C7123" w:rsidRPr="00C31078" w:rsidRDefault="000C7123" w:rsidP="00B979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123" w:rsidRPr="00C31078" w:rsidRDefault="000C7123" w:rsidP="00B979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C31078">
          <w:rPr>
            <w:rFonts w:ascii="Times New Roman" w:hAnsi="Times New Roman" w:cs="Times New Roman"/>
            <w:sz w:val="24"/>
            <w:szCs w:val="24"/>
          </w:rPr>
          <w:t>п. 3 ст. 39.7</w:t>
        </w:r>
      </w:hyperlink>
      <w:r w:rsidRPr="00C31078">
        <w:rPr>
          <w:rFonts w:ascii="Times New Roman" w:hAnsi="Times New Roman" w:cs="Times New Roman"/>
          <w:sz w:val="24"/>
          <w:szCs w:val="24"/>
        </w:rPr>
        <w:t xml:space="preserve"> ЗК РФ порядок определения размера арендной платы за земельные участки, предоставленные в аренду без торгов, государственная собственность на которые не разграничена, устанавливается органом государственной власти субъекта Российской Федерации, порядок определения размера арендной платы за земельные участки, находящиеся в муниципальной собственности, устанавливается органом местного самоуправления.</w:t>
      </w:r>
    </w:p>
    <w:p w:rsidR="006C0205" w:rsidRDefault="006C0205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05">
        <w:rPr>
          <w:rFonts w:ascii="Times New Roman" w:hAnsi="Times New Roman" w:cs="Times New Roman"/>
          <w:sz w:val="24"/>
          <w:szCs w:val="24"/>
        </w:rPr>
        <w:t>Порядок 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</w:t>
      </w:r>
      <w:r>
        <w:rPr>
          <w:rFonts w:ascii="Times New Roman" w:hAnsi="Times New Roman" w:cs="Times New Roman"/>
          <w:sz w:val="24"/>
          <w:szCs w:val="24"/>
        </w:rPr>
        <w:t xml:space="preserve"> утвержден Постановлением Правительства Тверской области от 30.05.2020 № 250-пп «О порядке определения размера арендной платы за земельные участкииз категории земель сельскохозяйственного назначения, находящиеся в собственности Тверской области, и земельные участки,  государственная собственность на которые не разграничена, и предоставленные в аренду без торгов» (далее –Порядок).</w:t>
      </w:r>
    </w:p>
    <w:p w:rsidR="006C0205" w:rsidRDefault="006C0205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05">
        <w:rPr>
          <w:rFonts w:ascii="Times New Roman" w:hAnsi="Times New Roman" w:cs="Times New Roman"/>
          <w:sz w:val="24"/>
          <w:szCs w:val="24"/>
        </w:rPr>
        <w:t>Порядок устанавливает правила определения размера арендной платы за пользование земельными участками из категории земель сельскохозяйственного назначения, находящимися в государственной собственности Тверской области, а также за пользование земельными участками, государственная собственность на которые не разграничена, на территории Тверской области, в случае их предо</w:t>
      </w:r>
      <w:r>
        <w:rPr>
          <w:rFonts w:ascii="Times New Roman" w:hAnsi="Times New Roman" w:cs="Times New Roman"/>
          <w:sz w:val="24"/>
          <w:szCs w:val="24"/>
        </w:rPr>
        <w:t>ставления без проведения торгов.</w:t>
      </w:r>
      <w:r w:rsidRPr="006C0205">
        <w:rPr>
          <w:rFonts w:ascii="Times New Roman" w:hAnsi="Times New Roman" w:cs="Times New Roman"/>
          <w:sz w:val="24"/>
          <w:szCs w:val="24"/>
        </w:rPr>
        <w:t xml:space="preserve"> Порядок не распространяется на случаи, при которых размер арендной платы определяется в соответствии с федеральным законодательством.</w:t>
      </w:r>
    </w:p>
    <w:p w:rsidR="006C0205" w:rsidRPr="006C0205" w:rsidRDefault="006C0205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C0205">
        <w:rPr>
          <w:rFonts w:ascii="Times New Roman" w:hAnsi="Times New Roman" w:cs="Times New Roman"/>
          <w:sz w:val="24"/>
          <w:szCs w:val="24"/>
        </w:rPr>
        <w:t xml:space="preserve"> Порядком, размер арендной платы в месяц за пользование земельными участками, государственная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C0205">
        <w:rPr>
          <w:rFonts w:ascii="Times New Roman" w:hAnsi="Times New Roman" w:cs="Times New Roman"/>
          <w:sz w:val="24"/>
          <w:szCs w:val="24"/>
        </w:rPr>
        <w:t xml:space="preserve">обственность на которые не разграничена, на территории Тверской области определяется по формуле: </w:t>
      </w:r>
    </w:p>
    <w:p w:rsidR="006C0205" w:rsidRPr="006C0205" w:rsidRDefault="006C0205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205" w:rsidRPr="006C0205" w:rsidRDefault="006C0205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05">
        <w:rPr>
          <w:rFonts w:ascii="Times New Roman" w:hAnsi="Times New Roman" w:cs="Times New Roman"/>
          <w:sz w:val="24"/>
          <w:szCs w:val="24"/>
        </w:rPr>
        <w:t xml:space="preserve">А = </w:t>
      </w:r>
      <w:proofErr w:type="spellStart"/>
      <w:r w:rsidRPr="006C0205">
        <w:rPr>
          <w:rFonts w:ascii="Times New Roman" w:hAnsi="Times New Roman" w:cs="Times New Roman"/>
          <w:sz w:val="24"/>
          <w:szCs w:val="24"/>
        </w:rPr>
        <w:t>Скадастр</w:t>
      </w:r>
      <w:proofErr w:type="spellEnd"/>
      <w:r w:rsidRPr="006C0205">
        <w:rPr>
          <w:rFonts w:ascii="Times New Roman" w:hAnsi="Times New Roman" w:cs="Times New Roman"/>
          <w:sz w:val="24"/>
          <w:szCs w:val="24"/>
        </w:rPr>
        <w:t xml:space="preserve"> x S x Сап x К / 12, </w:t>
      </w:r>
    </w:p>
    <w:p w:rsidR="006C0205" w:rsidRPr="006C0205" w:rsidRDefault="006C0205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0FB" w:rsidRDefault="006C0205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05">
        <w:rPr>
          <w:rFonts w:ascii="Times New Roman" w:hAnsi="Times New Roman" w:cs="Times New Roman"/>
          <w:sz w:val="24"/>
          <w:szCs w:val="24"/>
        </w:rPr>
        <w:t xml:space="preserve">где А – размер арендной платы в месяц (в рублях); </w:t>
      </w:r>
    </w:p>
    <w:p w:rsidR="006840FB" w:rsidRDefault="006C0205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205">
        <w:rPr>
          <w:rFonts w:ascii="Times New Roman" w:hAnsi="Times New Roman" w:cs="Times New Roman"/>
          <w:sz w:val="24"/>
          <w:szCs w:val="24"/>
        </w:rPr>
        <w:t>Скадастр</w:t>
      </w:r>
      <w:proofErr w:type="spellEnd"/>
      <w:r w:rsidRPr="006C0205">
        <w:rPr>
          <w:rFonts w:ascii="Times New Roman" w:hAnsi="Times New Roman" w:cs="Times New Roman"/>
          <w:sz w:val="24"/>
          <w:szCs w:val="24"/>
        </w:rPr>
        <w:t xml:space="preserve"> – удельный показатель кадастровой стоимости одного квадратного метра земельного участка, являющегося предметом договора аренды земельного участка (в рублях); </w:t>
      </w:r>
    </w:p>
    <w:p w:rsidR="006840FB" w:rsidRDefault="006C0205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05">
        <w:rPr>
          <w:rFonts w:ascii="Times New Roman" w:hAnsi="Times New Roman" w:cs="Times New Roman"/>
          <w:sz w:val="24"/>
          <w:szCs w:val="24"/>
        </w:rPr>
        <w:t xml:space="preserve">S - площадь земельного участка или его части, являющегося предметом договора аренды земельного участка (в кв. м); </w:t>
      </w:r>
    </w:p>
    <w:p w:rsidR="006840FB" w:rsidRDefault="006C0205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05">
        <w:rPr>
          <w:rFonts w:ascii="Times New Roman" w:hAnsi="Times New Roman" w:cs="Times New Roman"/>
          <w:sz w:val="24"/>
          <w:szCs w:val="24"/>
        </w:rPr>
        <w:t>Сап - ставка арендной платы, установленная настоящим Порядком</w:t>
      </w:r>
      <w:proofErr w:type="gramStart"/>
      <w:r w:rsidRPr="006C020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C0205">
        <w:rPr>
          <w:rFonts w:ascii="Times New Roman" w:hAnsi="Times New Roman" w:cs="Times New Roman"/>
          <w:sz w:val="24"/>
          <w:szCs w:val="24"/>
        </w:rPr>
        <w:t xml:space="preserve">в %); </w:t>
      </w:r>
    </w:p>
    <w:p w:rsidR="006C0205" w:rsidRDefault="006C0205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05">
        <w:rPr>
          <w:rFonts w:ascii="Times New Roman" w:hAnsi="Times New Roman" w:cs="Times New Roman"/>
          <w:sz w:val="24"/>
          <w:szCs w:val="24"/>
        </w:rPr>
        <w:t>К - коэффициент, устанавливаемый в отношении земельных участков с учетом видов разрешенного использования земельных участков в соответствии с классификатором видов разрешенного использования земельных участков, утвержденного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(далее - коэффициент).</w:t>
      </w:r>
    </w:p>
    <w:p w:rsidR="006840FB" w:rsidRDefault="006840FB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0FB">
        <w:rPr>
          <w:rFonts w:ascii="Times New Roman" w:hAnsi="Times New Roman" w:cs="Times New Roman"/>
          <w:sz w:val="24"/>
          <w:szCs w:val="24"/>
        </w:rPr>
        <w:t>Значения коэффициента (К) в отношении земельных участков, государственная собственность на которые не разграничена, на территории Тверской области, утверждаются представительными органами муниципальных районов, городских и муниципальных округов Тверской области в соответствии с классификатором видов разрешенного и</w:t>
      </w:r>
      <w:r w:rsidR="00710392">
        <w:rPr>
          <w:rFonts w:ascii="Times New Roman" w:hAnsi="Times New Roman" w:cs="Times New Roman"/>
          <w:sz w:val="24"/>
          <w:szCs w:val="24"/>
        </w:rPr>
        <w:t>спользования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0FB" w:rsidRDefault="006840FB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0FB">
        <w:rPr>
          <w:rFonts w:ascii="Times New Roman" w:hAnsi="Times New Roman" w:cs="Times New Roman"/>
          <w:sz w:val="24"/>
          <w:szCs w:val="24"/>
        </w:rPr>
        <w:t>Значение коэффициента (К)</w:t>
      </w:r>
      <w:r w:rsidR="004D6B9D">
        <w:rPr>
          <w:rFonts w:ascii="Times New Roman" w:hAnsi="Times New Roman" w:cs="Times New Roman"/>
          <w:sz w:val="24"/>
          <w:szCs w:val="24"/>
        </w:rPr>
        <w:t xml:space="preserve"> для вида разрешенного использования «Связь»</w:t>
      </w:r>
      <w:r w:rsidRPr="006840FB">
        <w:rPr>
          <w:rFonts w:ascii="Times New Roman" w:hAnsi="Times New Roman" w:cs="Times New Roman"/>
          <w:sz w:val="24"/>
          <w:szCs w:val="24"/>
        </w:rPr>
        <w:t xml:space="preserve"> не может быть менее минимального значения коэффициента (К), определенного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="004D6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B9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4D6B9D">
        <w:rPr>
          <w:rFonts w:ascii="Times New Roman" w:hAnsi="Times New Roman" w:cs="Times New Roman"/>
          <w:sz w:val="24"/>
          <w:szCs w:val="24"/>
        </w:rPr>
        <w:t>Кмин</w:t>
      </w:r>
      <w:proofErr w:type="spellEnd"/>
      <w:proofErr w:type="gramEnd"/>
      <w:r w:rsidR="004D6B9D">
        <w:rPr>
          <w:rFonts w:ascii="Times New Roman" w:hAnsi="Times New Roman" w:cs="Times New Roman"/>
          <w:sz w:val="24"/>
          <w:szCs w:val="24"/>
        </w:rPr>
        <w:t xml:space="preserve"> = 1,5/2 =0,75)</w:t>
      </w:r>
      <w:r w:rsidRPr="006840FB">
        <w:rPr>
          <w:rFonts w:ascii="Times New Roman" w:hAnsi="Times New Roman" w:cs="Times New Roman"/>
          <w:sz w:val="24"/>
          <w:szCs w:val="24"/>
        </w:rPr>
        <w:t>.</w:t>
      </w:r>
    </w:p>
    <w:p w:rsidR="004D6B9D" w:rsidRDefault="004D6B9D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47">
        <w:rPr>
          <w:rFonts w:ascii="Times New Roman" w:hAnsi="Times New Roman" w:cs="Times New Roman"/>
          <w:sz w:val="24"/>
          <w:szCs w:val="24"/>
        </w:rPr>
        <w:t xml:space="preserve">В связи с распространением на территории Тверской области новой </w:t>
      </w:r>
      <w:proofErr w:type="spellStart"/>
      <w:r w:rsidRPr="000D7A4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D7A47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Тверской области постепенно вводятся различные ограничения.  </w:t>
      </w:r>
    </w:p>
    <w:p w:rsidR="004D6B9D" w:rsidRDefault="004D6B9D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A47">
        <w:rPr>
          <w:rFonts w:ascii="Times New Roman" w:hAnsi="Times New Roman" w:cs="Times New Roman"/>
          <w:sz w:val="24"/>
          <w:szCs w:val="24"/>
        </w:rPr>
        <w:t>Даже постепенные меры так или иначе, наносят вред экономике.</w:t>
      </w:r>
      <w:r>
        <w:rPr>
          <w:rFonts w:ascii="Times New Roman" w:hAnsi="Times New Roman" w:cs="Times New Roman"/>
          <w:sz w:val="24"/>
          <w:szCs w:val="24"/>
        </w:rPr>
        <w:t xml:space="preserve"> Предлагаемые значения коэффициентов рассчитаны с условием </w:t>
      </w:r>
      <w:r w:rsidRPr="002A40B4">
        <w:rPr>
          <w:rFonts w:ascii="Times New Roman" w:hAnsi="Times New Roman" w:cs="Times New Roman"/>
          <w:bCs/>
          <w:sz w:val="24"/>
          <w:szCs w:val="24"/>
        </w:rPr>
        <w:t>недопущения значительного ухудшени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положения арендаторов в 2021 году. </w:t>
      </w:r>
    </w:p>
    <w:p w:rsidR="00673CC8" w:rsidRDefault="00673CC8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3CC8" w:rsidRDefault="0009432D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89F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C44394" w:rsidRPr="00C31078">
        <w:rPr>
          <w:rFonts w:ascii="Times New Roman" w:hAnsi="Times New Roman" w:cs="Times New Roman"/>
          <w:sz w:val="24"/>
          <w:szCs w:val="24"/>
        </w:rPr>
        <w:t>целевое назначение земельн</w:t>
      </w:r>
      <w:r w:rsidRPr="00CD289F">
        <w:rPr>
          <w:rFonts w:ascii="Times New Roman" w:hAnsi="Times New Roman" w:cs="Times New Roman"/>
          <w:sz w:val="24"/>
          <w:szCs w:val="24"/>
        </w:rPr>
        <w:t xml:space="preserve">ых </w:t>
      </w:r>
      <w:r w:rsidR="00C44394" w:rsidRPr="00C31078">
        <w:rPr>
          <w:rFonts w:ascii="Times New Roman" w:hAnsi="Times New Roman" w:cs="Times New Roman"/>
          <w:sz w:val="24"/>
          <w:szCs w:val="24"/>
        </w:rPr>
        <w:t>участк</w:t>
      </w:r>
      <w:r w:rsidRPr="00CD289F">
        <w:rPr>
          <w:rFonts w:ascii="Times New Roman" w:hAnsi="Times New Roman" w:cs="Times New Roman"/>
          <w:sz w:val="24"/>
          <w:szCs w:val="24"/>
        </w:rPr>
        <w:t xml:space="preserve">ов </w:t>
      </w:r>
      <w:r w:rsidR="00B971D6" w:rsidRPr="00CD289F">
        <w:rPr>
          <w:rFonts w:ascii="Times New Roman" w:hAnsi="Times New Roman" w:cs="Times New Roman"/>
          <w:sz w:val="24"/>
          <w:szCs w:val="24"/>
        </w:rPr>
        <w:t>с видом</w:t>
      </w:r>
      <w:r>
        <w:rPr>
          <w:rFonts w:ascii="Times New Roman" w:hAnsi="Times New Roman" w:cs="Times New Roman"/>
          <w:sz w:val="24"/>
          <w:szCs w:val="24"/>
        </w:rPr>
        <w:t xml:space="preserve"> разрешенного использования «Связь»</w:t>
      </w:r>
      <w:r w:rsidR="00673CC8">
        <w:rPr>
          <w:rFonts w:ascii="Times New Roman" w:hAnsi="Times New Roman" w:cs="Times New Roman"/>
          <w:sz w:val="24"/>
          <w:szCs w:val="24"/>
        </w:rPr>
        <w:t xml:space="preserve"> предоставленных в аренду на территории Вышневолоцкого городского округа</w:t>
      </w:r>
      <w:r w:rsidRPr="00CD289F">
        <w:rPr>
          <w:rFonts w:ascii="Times New Roman" w:hAnsi="Times New Roman" w:cs="Times New Roman"/>
          <w:sz w:val="24"/>
          <w:szCs w:val="24"/>
        </w:rPr>
        <w:t xml:space="preserve"> </w:t>
      </w:r>
      <w:r w:rsidR="009376DC" w:rsidRPr="00CD289F">
        <w:rPr>
          <w:rFonts w:ascii="Times New Roman" w:hAnsi="Times New Roman" w:cs="Times New Roman"/>
          <w:sz w:val="24"/>
          <w:szCs w:val="24"/>
        </w:rPr>
        <w:t>-</w:t>
      </w:r>
      <w:r w:rsidR="00673CC8">
        <w:rPr>
          <w:rFonts w:ascii="Times New Roman" w:hAnsi="Times New Roman" w:cs="Times New Roman"/>
          <w:sz w:val="24"/>
          <w:szCs w:val="24"/>
        </w:rPr>
        <w:t xml:space="preserve"> </w:t>
      </w:r>
      <w:r w:rsidRPr="00CD289F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CD289F">
        <w:rPr>
          <w:rFonts w:ascii="Times New Roman" w:hAnsi="Times New Roman" w:cs="Times New Roman"/>
          <w:sz w:val="24"/>
          <w:szCs w:val="24"/>
        </w:rPr>
        <w:t>объектов</w:t>
      </w:r>
      <w:r w:rsidRPr="00CD289F">
        <w:rPr>
          <w:rFonts w:ascii="Times New Roman" w:hAnsi="Times New Roman" w:cs="Times New Roman"/>
          <w:sz w:val="24"/>
          <w:szCs w:val="24"/>
        </w:rPr>
        <w:t xml:space="preserve"> сотовой связи</w:t>
      </w:r>
      <w:r w:rsidR="00CD289F" w:rsidRPr="00CD289F">
        <w:rPr>
          <w:rFonts w:ascii="Times New Roman" w:hAnsi="Times New Roman" w:cs="Times New Roman"/>
          <w:sz w:val="24"/>
          <w:szCs w:val="24"/>
        </w:rPr>
        <w:t>.</w:t>
      </w:r>
      <w:r w:rsidR="00673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89F" w:rsidRPr="00CD289F" w:rsidRDefault="00CD289F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сотовой связи</w:t>
      </w:r>
      <w:r w:rsidRPr="00CD289F">
        <w:rPr>
          <w:rFonts w:ascii="Times New Roman" w:hAnsi="Times New Roman" w:cs="Times New Roman"/>
          <w:sz w:val="24"/>
          <w:szCs w:val="24"/>
        </w:rPr>
        <w:t xml:space="preserve"> конструктивно делятся на три вида </w:t>
      </w:r>
      <w:r w:rsidR="00B355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51A">
        <w:rPr>
          <w:rFonts w:ascii="Times New Roman" w:hAnsi="Times New Roman" w:cs="Times New Roman"/>
          <w:sz w:val="24"/>
          <w:szCs w:val="24"/>
        </w:rPr>
        <w:t>«башня», «</w:t>
      </w:r>
      <w:r>
        <w:rPr>
          <w:rFonts w:ascii="Times New Roman" w:hAnsi="Times New Roman" w:cs="Times New Roman"/>
          <w:sz w:val="24"/>
          <w:szCs w:val="24"/>
        </w:rPr>
        <w:t>мачта</w:t>
      </w:r>
      <w:r w:rsidR="00B355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55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вышка</w:t>
      </w:r>
      <w:r w:rsidR="00B355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2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3551A">
        <w:rPr>
          <w:rFonts w:ascii="Times New Roman" w:hAnsi="Times New Roman" w:cs="Times New Roman"/>
          <w:sz w:val="24"/>
          <w:szCs w:val="24"/>
        </w:rPr>
        <w:t>вязисты называют их все «</w:t>
      </w:r>
      <w:r w:rsidRPr="00CD289F">
        <w:rPr>
          <w:rFonts w:ascii="Times New Roman" w:hAnsi="Times New Roman" w:cs="Times New Roman"/>
          <w:sz w:val="24"/>
          <w:szCs w:val="24"/>
        </w:rPr>
        <w:t>передающими радиотехническими объектами</w:t>
      </w:r>
      <w:r w:rsidR="00B3551A">
        <w:rPr>
          <w:rFonts w:ascii="Times New Roman" w:hAnsi="Times New Roman" w:cs="Times New Roman"/>
          <w:sz w:val="24"/>
          <w:szCs w:val="24"/>
        </w:rPr>
        <w:t>»</w:t>
      </w:r>
      <w:r w:rsidRPr="00CD289F">
        <w:rPr>
          <w:rFonts w:ascii="Times New Roman" w:hAnsi="Times New Roman" w:cs="Times New Roman"/>
          <w:sz w:val="24"/>
          <w:szCs w:val="24"/>
        </w:rPr>
        <w:t>. Все отдельно стоящие башни, мачты и вышки</w:t>
      </w:r>
      <w:r>
        <w:rPr>
          <w:rFonts w:ascii="Times New Roman" w:hAnsi="Times New Roman" w:cs="Times New Roman"/>
          <w:sz w:val="24"/>
          <w:szCs w:val="24"/>
        </w:rPr>
        <w:t xml:space="preserve"> (далее - вышки</w:t>
      </w:r>
      <w:r w:rsidRPr="00CD289F">
        <w:rPr>
          <w:rFonts w:ascii="Times New Roman" w:hAnsi="Times New Roman" w:cs="Times New Roman"/>
          <w:sz w:val="24"/>
          <w:szCs w:val="24"/>
        </w:rPr>
        <w:t xml:space="preserve"> сотовой связи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289F">
        <w:rPr>
          <w:rFonts w:ascii="Times New Roman" w:hAnsi="Times New Roman" w:cs="Times New Roman"/>
          <w:sz w:val="24"/>
          <w:szCs w:val="24"/>
        </w:rPr>
        <w:t xml:space="preserve"> относятся к категории недвижимости и в соответствии</w:t>
      </w:r>
      <w:r w:rsidR="00B3551A">
        <w:rPr>
          <w:rFonts w:ascii="Times New Roman" w:hAnsi="Times New Roman" w:cs="Times New Roman"/>
          <w:sz w:val="24"/>
          <w:szCs w:val="24"/>
        </w:rPr>
        <w:t xml:space="preserve"> с законом «</w:t>
      </w:r>
      <w:r w:rsidRPr="00CD289F">
        <w:rPr>
          <w:rFonts w:ascii="Times New Roman" w:hAnsi="Times New Roman" w:cs="Times New Roman"/>
          <w:sz w:val="24"/>
          <w:szCs w:val="24"/>
        </w:rPr>
        <w:t>О связи</w:t>
      </w:r>
      <w:r w:rsidR="00B3551A">
        <w:rPr>
          <w:rFonts w:ascii="Times New Roman" w:hAnsi="Times New Roman" w:cs="Times New Roman"/>
          <w:sz w:val="24"/>
          <w:szCs w:val="24"/>
        </w:rPr>
        <w:t>»</w:t>
      </w:r>
      <w:r w:rsidRPr="00CD289F">
        <w:rPr>
          <w:rFonts w:ascii="Times New Roman" w:hAnsi="Times New Roman" w:cs="Times New Roman"/>
          <w:sz w:val="24"/>
          <w:szCs w:val="24"/>
        </w:rPr>
        <w:t xml:space="preserve"> подлежат в этом качестве государственной регистрации.</w:t>
      </w:r>
    </w:p>
    <w:p w:rsidR="00CD289F" w:rsidRDefault="00CD289F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89F">
        <w:rPr>
          <w:rFonts w:ascii="Times New Roman" w:hAnsi="Times New Roman" w:cs="Times New Roman"/>
          <w:sz w:val="24"/>
          <w:szCs w:val="24"/>
        </w:rPr>
        <w:t>В зависимости от опасности ко</w:t>
      </w:r>
      <w:r w:rsidR="001A37C8">
        <w:rPr>
          <w:rFonts w:ascii="Times New Roman" w:hAnsi="Times New Roman" w:cs="Times New Roman"/>
          <w:sz w:val="24"/>
          <w:szCs w:val="24"/>
        </w:rPr>
        <w:t xml:space="preserve">нкретного связного объекта </w:t>
      </w:r>
      <w:r w:rsidR="00673CC8">
        <w:rPr>
          <w:rFonts w:ascii="Times New Roman" w:hAnsi="Times New Roman" w:cs="Times New Roman"/>
          <w:sz w:val="24"/>
          <w:szCs w:val="24"/>
        </w:rPr>
        <w:t xml:space="preserve">для </w:t>
      </w:r>
      <w:r w:rsidR="00673CC8" w:rsidRPr="00CD289F">
        <w:rPr>
          <w:rFonts w:ascii="Times New Roman" w:hAnsi="Times New Roman" w:cs="Times New Roman"/>
          <w:sz w:val="24"/>
          <w:szCs w:val="24"/>
        </w:rPr>
        <w:t>здоровья</w:t>
      </w:r>
      <w:r w:rsidRPr="00CD289F">
        <w:rPr>
          <w:rFonts w:ascii="Times New Roman" w:hAnsi="Times New Roman" w:cs="Times New Roman"/>
          <w:sz w:val="24"/>
          <w:szCs w:val="24"/>
        </w:rPr>
        <w:t xml:space="preserve"> </w:t>
      </w:r>
      <w:r w:rsidR="001A37C8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CD289F">
        <w:rPr>
          <w:rFonts w:ascii="Times New Roman" w:hAnsi="Times New Roman" w:cs="Times New Roman"/>
          <w:sz w:val="24"/>
          <w:szCs w:val="24"/>
        </w:rPr>
        <w:t xml:space="preserve">вокруг сооружений связи законодательно предусматривается создание охранных зон или полос отчуждения. СанПиН 2.1.8/2.2.4.1383-03 </w:t>
      </w:r>
      <w:r w:rsidR="00B3551A">
        <w:rPr>
          <w:rFonts w:ascii="Times New Roman" w:hAnsi="Times New Roman" w:cs="Times New Roman"/>
          <w:sz w:val="24"/>
          <w:szCs w:val="24"/>
        </w:rPr>
        <w:t>«</w:t>
      </w:r>
      <w:r w:rsidRPr="00CD289F">
        <w:rPr>
          <w:rFonts w:ascii="Times New Roman" w:hAnsi="Times New Roman" w:cs="Times New Roman"/>
          <w:sz w:val="24"/>
          <w:szCs w:val="24"/>
        </w:rPr>
        <w:t>Гигиенические требования к размещению и эксплуатации передающих радиотехнических объектов</w:t>
      </w:r>
      <w:r w:rsidR="00B3551A">
        <w:rPr>
          <w:rFonts w:ascii="Times New Roman" w:hAnsi="Times New Roman" w:cs="Times New Roman"/>
          <w:sz w:val="24"/>
          <w:szCs w:val="24"/>
        </w:rPr>
        <w:t>»</w:t>
      </w:r>
      <w:r w:rsidRPr="00CD289F">
        <w:rPr>
          <w:rFonts w:ascii="Times New Roman" w:hAnsi="Times New Roman" w:cs="Times New Roman"/>
          <w:sz w:val="24"/>
          <w:szCs w:val="24"/>
        </w:rPr>
        <w:t xml:space="preserve"> дают возможность точно определить размеры и конфигурацию таких зон на местности в зависимости от мощ</w:t>
      </w:r>
      <w:r w:rsidR="00B3551A">
        <w:rPr>
          <w:rFonts w:ascii="Times New Roman" w:hAnsi="Times New Roman" w:cs="Times New Roman"/>
          <w:sz w:val="24"/>
          <w:szCs w:val="24"/>
        </w:rPr>
        <w:t>ности и направления излучения («</w:t>
      </w:r>
      <w:r w:rsidRPr="00CD289F">
        <w:rPr>
          <w:rFonts w:ascii="Times New Roman" w:hAnsi="Times New Roman" w:cs="Times New Roman"/>
          <w:sz w:val="24"/>
          <w:szCs w:val="24"/>
        </w:rPr>
        <w:t>диаграм</w:t>
      </w:r>
      <w:r w:rsidR="00B3551A">
        <w:rPr>
          <w:rFonts w:ascii="Times New Roman" w:hAnsi="Times New Roman" w:cs="Times New Roman"/>
          <w:sz w:val="24"/>
          <w:szCs w:val="24"/>
        </w:rPr>
        <w:t>мы направленности») каждой конкретной «</w:t>
      </w:r>
      <w:r w:rsidRPr="00CD289F">
        <w:rPr>
          <w:rFonts w:ascii="Times New Roman" w:hAnsi="Times New Roman" w:cs="Times New Roman"/>
          <w:sz w:val="24"/>
          <w:szCs w:val="24"/>
        </w:rPr>
        <w:t>сотовой</w:t>
      </w:r>
      <w:r w:rsidR="00B3551A">
        <w:rPr>
          <w:rFonts w:ascii="Times New Roman" w:hAnsi="Times New Roman" w:cs="Times New Roman"/>
          <w:sz w:val="24"/>
          <w:szCs w:val="24"/>
        </w:rPr>
        <w:t>»</w:t>
      </w:r>
      <w:r w:rsidRPr="00CD289F">
        <w:rPr>
          <w:rFonts w:ascii="Times New Roman" w:hAnsi="Times New Roman" w:cs="Times New Roman"/>
          <w:sz w:val="24"/>
          <w:szCs w:val="24"/>
        </w:rPr>
        <w:t xml:space="preserve"> или иной радиостанции. Для особо мощных объектов границы санитарно-защитных зон устанавливаются решениями Главного государственного санитарного врача Российской Федерации, для менее мощных - нижестоящими руководителями санитарного надзора.</w:t>
      </w:r>
    </w:p>
    <w:p w:rsidR="001A37C8" w:rsidRDefault="001A37C8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7F727E" w:rsidRPr="001A37C8">
        <w:rPr>
          <w:rFonts w:ascii="Times New Roman" w:hAnsi="Times New Roman" w:cs="Times New Roman"/>
          <w:sz w:val="24"/>
          <w:szCs w:val="24"/>
        </w:rPr>
        <w:t>3.15.</w:t>
      </w:r>
      <w:r w:rsidRPr="001A37C8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Pr="00CD289F">
        <w:rPr>
          <w:rFonts w:ascii="Times New Roman" w:hAnsi="Times New Roman" w:cs="Times New Roman"/>
          <w:sz w:val="24"/>
          <w:szCs w:val="24"/>
        </w:rPr>
        <w:t>СанПиН</w:t>
      </w:r>
      <w:r w:rsidRPr="001A3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F727E" w:rsidRPr="001A37C8">
        <w:rPr>
          <w:rFonts w:ascii="Times New Roman" w:hAnsi="Times New Roman" w:cs="Times New Roman"/>
          <w:sz w:val="24"/>
          <w:szCs w:val="24"/>
        </w:rPr>
        <w:t xml:space="preserve">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</w:t>
      </w:r>
      <w:r w:rsidR="007F727E" w:rsidRPr="00673CC8">
        <w:rPr>
          <w:rFonts w:ascii="Times New Roman" w:hAnsi="Times New Roman" w:cs="Times New Roman"/>
          <w:b/>
          <w:sz w:val="24"/>
          <w:szCs w:val="24"/>
          <w:u w:val="single"/>
        </w:rPr>
        <w:t>на расстоянии не менее 25 м</w:t>
      </w:r>
      <w:r w:rsidR="007F727E" w:rsidRPr="001A37C8">
        <w:rPr>
          <w:rFonts w:ascii="Times New Roman" w:hAnsi="Times New Roman" w:cs="Times New Roman"/>
          <w:sz w:val="24"/>
          <w:szCs w:val="24"/>
        </w:rPr>
        <w:t xml:space="preserve"> от любой точки антенны независимо от ее типа и направления излучения. </w:t>
      </w:r>
    </w:p>
    <w:p w:rsidR="0009432D" w:rsidRDefault="0009432D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Согласно СанПиН 2.1.8/2.2.4.1190-03</w:t>
      </w:r>
      <w:r w:rsidR="00CD289F" w:rsidRPr="001A37C8">
        <w:rPr>
          <w:rFonts w:ascii="Times New Roman" w:hAnsi="Times New Roman" w:cs="Times New Roman"/>
          <w:sz w:val="24"/>
          <w:szCs w:val="24"/>
        </w:rPr>
        <w:t xml:space="preserve"> Гигиенические требования к размещению и эксплуатации средств сухопутной подвижной радиосвязи</w:t>
      </w:r>
      <w:r w:rsidRPr="001A37C8">
        <w:rPr>
          <w:rFonts w:ascii="Times New Roman" w:hAnsi="Times New Roman" w:cs="Times New Roman"/>
          <w:sz w:val="24"/>
          <w:szCs w:val="24"/>
        </w:rPr>
        <w:t>:</w:t>
      </w:r>
    </w:p>
    <w:p w:rsidR="008C2501" w:rsidRPr="008C2501" w:rsidRDefault="008C2501" w:rsidP="008C2501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C2501">
        <w:rPr>
          <w:rFonts w:ascii="Times New Roman" w:hAnsi="Times New Roman" w:cs="Times New Roman"/>
          <w:sz w:val="24"/>
          <w:szCs w:val="24"/>
        </w:rPr>
        <w:t xml:space="preserve">3.2. Санитарно-эпидемиологические требования к условиям труда работающих, подвергающихся в процессе трудовой деятельности профессиональному воздействию ЭМП различных частотных диапазонов при любом характере воздействия ЭМП, должны соответствовать требованиям </w:t>
      </w:r>
      <w:hyperlink r:id="rId15" w:history="1">
        <w:r w:rsidRPr="008C2501">
          <w:rPr>
            <w:rFonts w:ascii="Times New Roman" w:hAnsi="Times New Roman" w:cs="Times New Roman"/>
            <w:sz w:val="24"/>
            <w:szCs w:val="24"/>
          </w:rPr>
          <w:t>Санитарных правил</w:t>
        </w:r>
      </w:hyperlink>
      <w:r w:rsidRPr="008C2501">
        <w:rPr>
          <w:rFonts w:ascii="Times New Roman" w:hAnsi="Times New Roman" w:cs="Times New Roman"/>
          <w:sz w:val="24"/>
          <w:szCs w:val="24"/>
        </w:rPr>
        <w:t xml:space="preserve"> по электромагнитным полям в производственных условиях.</w:t>
      </w:r>
    </w:p>
    <w:p w:rsidR="008C2501" w:rsidRPr="001A37C8" w:rsidRDefault="008C2501" w:rsidP="008C2501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3.3. Уровни электромагнитных полей, создаваемые антеннами базовых станций на территории жилой застройки, внутри жилых, общественных и производственных помещений, не должны превышать следующих предельно допустимых значений:</w:t>
      </w:r>
    </w:p>
    <w:p w:rsidR="008C2501" w:rsidRPr="001A37C8" w:rsidRDefault="008C2501" w:rsidP="008C2501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 xml:space="preserve">в диапазоне частот 27 МГц &lt;= f </w:t>
      </w:r>
      <w:proofErr w:type="gramStart"/>
      <w:r w:rsidRPr="001A37C8">
        <w:rPr>
          <w:rFonts w:ascii="Times New Roman" w:hAnsi="Times New Roman" w:cs="Times New Roman"/>
          <w:sz w:val="24"/>
          <w:szCs w:val="24"/>
        </w:rPr>
        <w:t>&lt; 30</w:t>
      </w:r>
      <w:proofErr w:type="gramEnd"/>
      <w:r w:rsidRPr="001A37C8">
        <w:rPr>
          <w:rFonts w:ascii="Times New Roman" w:hAnsi="Times New Roman" w:cs="Times New Roman"/>
          <w:sz w:val="24"/>
          <w:szCs w:val="24"/>
        </w:rPr>
        <w:t xml:space="preserve"> МГц - 10,0 В/м;</w:t>
      </w:r>
    </w:p>
    <w:p w:rsidR="008C2501" w:rsidRPr="001A37C8" w:rsidRDefault="008C2501" w:rsidP="008C2501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lastRenderedPageBreak/>
        <w:t xml:space="preserve">в диапазоне частот 30 МГц &lt;= f </w:t>
      </w:r>
      <w:proofErr w:type="gramStart"/>
      <w:r w:rsidRPr="001A37C8">
        <w:rPr>
          <w:rFonts w:ascii="Times New Roman" w:hAnsi="Times New Roman" w:cs="Times New Roman"/>
          <w:sz w:val="24"/>
          <w:szCs w:val="24"/>
        </w:rPr>
        <w:t>&lt; 300</w:t>
      </w:r>
      <w:proofErr w:type="gramEnd"/>
      <w:r w:rsidRPr="001A37C8">
        <w:rPr>
          <w:rFonts w:ascii="Times New Roman" w:hAnsi="Times New Roman" w:cs="Times New Roman"/>
          <w:sz w:val="24"/>
          <w:szCs w:val="24"/>
        </w:rPr>
        <w:t xml:space="preserve"> МГц - 3,0 В/м;</w:t>
      </w:r>
    </w:p>
    <w:p w:rsidR="008C2501" w:rsidRDefault="008C2501" w:rsidP="008C2501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 xml:space="preserve">в диапазоне частот 300 МГц &lt;= f </w:t>
      </w:r>
      <w:proofErr w:type="gramStart"/>
      <w:r w:rsidRPr="001A37C8">
        <w:rPr>
          <w:rFonts w:ascii="Times New Roman" w:hAnsi="Times New Roman" w:cs="Times New Roman"/>
          <w:sz w:val="24"/>
          <w:szCs w:val="24"/>
        </w:rPr>
        <w:t>&lt; 2400</w:t>
      </w:r>
      <w:proofErr w:type="gramEnd"/>
      <w:r w:rsidRPr="001A37C8">
        <w:rPr>
          <w:rFonts w:ascii="Times New Roman" w:hAnsi="Times New Roman" w:cs="Times New Roman"/>
          <w:sz w:val="24"/>
          <w:szCs w:val="24"/>
        </w:rPr>
        <w:t xml:space="preserve"> МГц - 10,0 мкВт/см</w:t>
      </w:r>
      <w:r w:rsidRPr="00FC68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3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432D" w:rsidRPr="001A37C8" w:rsidRDefault="008C2501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432D" w:rsidRPr="001A37C8">
        <w:rPr>
          <w:rFonts w:ascii="Times New Roman" w:hAnsi="Times New Roman" w:cs="Times New Roman"/>
          <w:sz w:val="24"/>
          <w:szCs w:val="24"/>
        </w:rPr>
        <w:t>3.7. Утверждение проектной документации по строительству, реконструкции, техническому перевооружению, расширению и ввод в эксплуатацию построенных и реконструированных базовых станций, а также проектирование и строительство вблизи них жилых, общественных и производственных зданий допускается только при наличии санитарно-эпидемиологического заключения о соответствии санитарным правилам.</w:t>
      </w:r>
    </w:p>
    <w:p w:rsidR="0009432D" w:rsidRPr="001A37C8" w:rsidRDefault="0009432D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3.8. Санитарно-эпидемиологические заключения выдаются на основании результатов санитарно-эпидемиологической экспертизы центрами государственного санитарно-эпидемиологического надзора (далее - центры Госсанэпиднадзора) в субъектах РФ на основании результатов санитарно-эпидемиологической экспертизы.</w:t>
      </w:r>
    </w:p>
    <w:p w:rsidR="0009432D" w:rsidRPr="001A37C8" w:rsidRDefault="0009432D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3.12. Не требуется получения санитарно-эпидемиологического заключения на размещение, ввод в эксплуатацию и эксплуатацию одной стационарной радиостанции с эффективной излучаемой мощностью не более 10 Вт при условии размещения антенны вне здания.</w:t>
      </w:r>
    </w:p>
    <w:p w:rsidR="0009432D" w:rsidRPr="001A37C8" w:rsidRDefault="0009432D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3.13. Рекомендуется размещение антенн на отдельно стоящих опорах и мачтах.</w:t>
      </w:r>
      <w:r w:rsidRPr="001A37C8">
        <w:rPr>
          <w:rFonts w:ascii="Times New Roman" w:hAnsi="Times New Roman" w:cs="Times New Roman"/>
          <w:sz w:val="24"/>
          <w:szCs w:val="24"/>
        </w:rPr>
        <w:br/>
        <w:t>Допускается размещение передающих антенн на крышах жилых, общественных и других зданий и в иных местах при соблюдении условий п. 3.2 и п. 3.3.</w:t>
      </w:r>
    </w:p>
    <w:p w:rsidR="0009432D" w:rsidRPr="001A37C8" w:rsidRDefault="0009432D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3.16. В целях защиты населения от воздействия ЭМП (электромагнитных полей</w:t>
      </w:r>
      <w:proofErr w:type="gramStart"/>
      <w:r w:rsidRPr="001A37C8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1A37C8">
        <w:rPr>
          <w:rFonts w:ascii="Times New Roman" w:hAnsi="Times New Roman" w:cs="Times New Roman"/>
          <w:sz w:val="24"/>
          <w:szCs w:val="24"/>
        </w:rPr>
        <w:t xml:space="preserve"> создаваемых антеннами базовых станций или ПРТО (передающий радиотехнический объект) в целом, устанавливаются СЗЗ (санитарно</w:t>
      </w:r>
      <w:r w:rsidR="00AC6C92" w:rsidRPr="001A37C8">
        <w:rPr>
          <w:rFonts w:ascii="Times New Roman" w:hAnsi="Times New Roman" w:cs="Times New Roman"/>
          <w:sz w:val="24"/>
          <w:szCs w:val="24"/>
        </w:rPr>
        <w:t>-</w:t>
      </w:r>
      <w:r w:rsidRPr="001A37C8">
        <w:rPr>
          <w:rFonts w:ascii="Times New Roman" w:hAnsi="Times New Roman" w:cs="Times New Roman"/>
          <w:sz w:val="24"/>
          <w:szCs w:val="24"/>
        </w:rPr>
        <w:t>защитные зоны) и ЗОЗ (зоны ограниченной застройки) с учетом перспективного развития объекта связи и населенного пункта.</w:t>
      </w:r>
    </w:p>
    <w:p w:rsidR="0009432D" w:rsidRPr="001A37C8" w:rsidRDefault="0009432D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Границы СЗЗ определяются на высоте 2 м от поверхности земли по ПДУ (предельно допустимые уровни воздействия</w:t>
      </w:r>
      <w:proofErr w:type="gramStart"/>
      <w:r w:rsidRPr="001A37C8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1A37C8">
        <w:rPr>
          <w:rFonts w:ascii="Times New Roman" w:hAnsi="Times New Roman" w:cs="Times New Roman"/>
          <w:sz w:val="24"/>
          <w:szCs w:val="24"/>
        </w:rPr>
        <w:t xml:space="preserve"> указанным в п. п. 3.2 и 3.3.</w:t>
      </w:r>
    </w:p>
    <w:p w:rsidR="0009432D" w:rsidRPr="001A37C8" w:rsidRDefault="0009432D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ЗОЗ представляет собой территорию вокруг ПРТО, где на высоте от поверхности земли более 2 м уровень ЭМП превышает ПДУ для населения по п. п. 3.2 и 3.3.</w:t>
      </w:r>
    </w:p>
    <w:p w:rsidR="0009432D" w:rsidRPr="001A37C8" w:rsidRDefault="0009432D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Внешняя граница ЗОЗ определяется по максимальной высоте зданий перспективной застройки, на высоте верхнего этажа которых уровень ЭМП не превышает ПДУ для населения по п. п. 3.2 и 3.3.</w:t>
      </w:r>
    </w:p>
    <w:p w:rsidR="0009432D" w:rsidRPr="001A37C8" w:rsidRDefault="0009432D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7C8">
        <w:rPr>
          <w:rFonts w:ascii="Times New Roman" w:hAnsi="Times New Roman" w:cs="Times New Roman"/>
          <w:sz w:val="24"/>
          <w:szCs w:val="24"/>
        </w:rPr>
        <w:t xml:space="preserve">3.17. </w:t>
      </w:r>
      <w:r w:rsidRPr="001A37C8">
        <w:rPr>
          <w:rFonts w:ascii="Times New Roman" w:hAnsi="Times New Roman" w:cs="Times New Roman"/>
          <w:b/>
          <w:sz w:val="24"/>
          <w:szCs w:val="24"/>
          <w:u w:val="single"/>
        </w:rPr>
        <w:t>СЗЗ и ЗОЗ не могут использоваться в качестве территории жилой застройки, а также для размещения площадок для стоянки и остановки всех видов транспорта, предприятий по обслуживанию автомобилей, бензозаправочных станций, складов нефти и нефтепродуктов и т. п.</w:t>
      </w:r>
    </w:p>
    <w:p w:rsidR="0009432D" w:rsidRPr="001A37C8" w:rsidRDefault="0009432D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7C8">
        <w:rPr>
          <w:rFonts w:ascii="Times New Roman" w:hAnsi="Times New Roman" w:cs="Times New Roman"/>
          <w:b/>
          <w:sz w:val="24"/>
          <w:szCs w:val="24"/>
          <w:u w:val="single"/>
        </w:rPr>
        <w:t>СЗЗ и ЗОЗ или какая-либо их часть не могут рассматриваться как резервная территория предприятия и использоваться для расширения промышленной площадки.</w:t>
      </w:r>
    </w:p>
    <w:p w:rsidR="0009432D" w:rsidRPr="001A37C8" w:rsidRDefault="0009432D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7C8">
        <w:rPr>
          <w:rFonts w:ascii="Times New Roman" w:hAnsi="Times New Roman" w:cs="Times New Roman"/>
          <w:b/>
          <w:sz w:val="24"/>
          <w:szCs w:val="24"/>
          <w:u w:val="single"/>
        </w:rPr>
        <w:t>СЗЗ не может рассматриваться как территория для размещения коллективных или индивидуальных дачных и садово-огородных участков.</w:t>
      </w:r>
    </w:p>
    <w:p w:rsidR="0009432D" w:rsidRDefault="0009432D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3.18. СЗЗ и ЗОЗ определяются в соответствии с методическими указаниями, утвержденными в установленном порядке, с учетом возможного суммирования ЭМП, создаваемых отдельными источниками, входящими в состав ПРТО</w:t>
      </w:r>
      <w:r w:rsidR="008C2501">
        <w:rPr>
          <w:rFonts w:ascii="Times New Roman" w:hAnsi="Times New Roman" w:cs="Times New Roman"/>
          <w:sz w:val="24"/>
          <w:szCs w:val="24"/>
        </w:rPr>
        <w:t>»</w:t>
      </w:r>
      <w:r w:rsidRPr="001A37C8">
        <w:rPr>
          <w:rFonts w:ascii="Times New Roman" w:hAnsi="Times New Roman" w:cs="Times New Roman"/>
          <w:sz w:val="24"/>
          <w:szCs w:val="24"/>
        </w:rPr>
        <w:t>.</w:t>
      </w:r>
    </w:p>
    <w:p w:rsidR="00FC6862" w:rsidRDefault="00FC6862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862" w:rsidRPr="00673CC8" w:rsidRDefault="00FC6862" w:rsidP="00B9790E">
      <w:pPr>
        <w:pStyle w:val="a4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C8">
        <w:rPr>
          <w:rFonts w:ascii="Times New Roman" w:hAnsi="Times New Roman" w:cs="Times New Roman"/>
          <w:sz w:val="24"/>
          <w:szCs w:val="24"/>
        </w:rPr>
        <w:t>Санитарно-защитная зона (СЗЗ) - зона пространства, специально выделенная между ПРТО и селитебной территорией в целях охраны здоровья населения.</w:t>
      </w:r>
    </w:p>
    <w:p w:rsidR="0009432D" w:rsidRPr="00AC6C92" w:rsidRDefault="00673CC8" w:rsidP="00B9790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u w:val="single"/>
        </w:rPr>
      </w:pPr>
      <w:r>
        <w:t>С</w:t>
      </w:r>
      <w:r w:rsidR="00B971D6" w:rsidRPr="00B971D6">
        <w:t xml:space="preserve">анитарно-защитная зона вокруг вышки должна составлять </w:t>
      </w:r>
      <w:r w:rsidR="00B971D6" w:rsidRPr="00AC6C92">
        <w:rPr>
          <w:u w:val="single"/>
        </w:rPr>
        <w:t>не менее 25 метров, к этому нужно прибавить 3 метра зоны отчуждения. </w:t>
      </w:r>
    </w:p>
    <w:p w:rsidR="009376DC" w:rsidRPr="00AC6C92" w:rsidRDefault="009376DC" w:rsidP="00B9790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u w:val="single"/>
        </w:rPr>
      </w:pPr>
    </w:p>
    <w:p w:rsidR="00B971D6" w:rsidRDefault="009376DC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ab/>
        <w:t xml:space="preserve">На территории Вышневолоцкого городского округа установлены вышки сотовой связи высотой до 30 м, площадь земельного участка, предоставленного в аренду для установки одной вышки, составляет не более 20 </w:t>
      </w:r>
      <w:proofErr w:type="spellStart"/>
      <w:r>
        <w:t>кв.м</w:t>
      </w:r>
      <w:proofErr w:type="spellEnd"/>
      <w:r>
        <w:t>.</w:t>
      </w:r>
    </w:p>
    <w:p w:rsidR="009376DC" w:rsidRDefault="009376DC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Минимальный размер арендной платы на территории городских поселений Вышневолоцкого городского округа составляет 20*733,08*2%*0,75= 220 руб. в год.</w:t>
      </w:r>
    </w:p>
    <w:p w:rsidR="009376DC" w:rsidRDefault="009376DC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Фактически используется площадь земельного участка (25+3+25+</w:t>
      </w:r>
      <w:proofErr w:type="gramStart"/>
      <w:r>
        <w:t>3)*</w:t>
      </w:r>
      <w:proofErr w:type="gramEnd"/>
      <w:r>
        <w:t xml:space="preserve">(25+3+25+3)= 3136 </w:t>
      </w:r>
      <w:proofErr w:type="spellStart"/>
      <w:r>
        <w:t>кв.м</w:t>
      </w:r>
      <w:proofErr w:type="spellEnd"/>
      <w:r>
        <w:t>.</w:t>
      </w:r>
    </w:p>
    <w:p w:rsidR="009376DC" w:rsidRDefault="009376DC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Минимальный размер арендной платы на территории городских поселений Вышневолоцкого городского округа фактически составляет 3136*733,08*2%*0,75= 34484 руб. в год.</w:t>
      </w:r>
    </w:p>
    <w:p w:rsidR="009376DC" w:rsidRDefault="009376DC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:rsidR="009376DC" w:rsidRPr="00AC6C92" w:rsidRDefault="009376DC" w:rsidP="00B9790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AC6C92">
        <w:rPr>
          <w:b/>
        </w:rPr>
        <w:t xml:space="preserve">Расчетный </w:t>
      </w:r>
      <w:proofErr w:type="gramStart"/>
      <w:r w:rsidRPr="00AC6C92">
        <w:rPr>
          <w:b/>
        </w:rPr>
        <w:t xml:space="preserve">коэффициент </w:t>
      </w:r>
      <w:r w:rsidR="00DE3E41" w:rsidRPr="00AC6C92">
        <w:rPr>
          <w:b/>
        </w:rPr>
        <w:t xml:space="preserve"> </w:t>
      </w:r>
      <w:r w:rsidRPr="00AC6C92">
        <w:rPr>
          <w:b/>
        </w:rPr>
        <w:t>К</w:t>
      </w:r>
      <w:proofErr w:type="gramEnd"/>
      <w:r w:rsidRPr="00AC6C92">
        <w:rPr>
          <w:b/>
        </w:rPr>
        <w:t xml:space="preserve">= </w:t>
      </w:r>
      <w:r w:rsidR="00DE3E41" w:rsidRPr="00AC6C92">
        <w:rPr>
          <w:b/>
        </w:rPr>
        <w:t>(34484/(733,08*2%*20) = 118</w:t>
      </w:r>
    </w:p>
    <w:p w:rsidR="009376DC" w:rsidRPr="00AC6C92" w:rsidRDefault="009376DC" w:rsidP="00B9790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</w:p>
    <w:p w:rsidR="009C3D64" w:rsidRDefault="009C3D64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Минимальный размер арендной платы на территории сельских поселений Вышневолоцкого городского округа составляет 20*43,78*2%*0,75= 13 руб. в год.</w:t>
      </w:r>
    </w:p>
    <w:p w:rsidR="009C3D64" w:rsidRDefault="009C3D64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Фактически используется площадь земельного участка (25+3+25+</w:t>
      </w:r>
      <w:proofErr w:type="gramStart"/>
      <w:r>
        <w:t>3)*</w:t>
      </w:r>
      <w:proofErr w:type="gramEnd"/>
      <w:r>
        <w:t xml:space="preserve">(25+3+25+3)= 3136 </w:t>
      </w:r>
      <w:proofErr w:type="spellStart"/>
      <w:r>
        <w:t>кв.м</w:t>
      </w:r>
      <w:proofErr w:type="spellEnd"/>
      <w:r>
        <w:t>.</w:t>
      </w:r>
    </w:p>
    <w:p w:rsidR="009C3D64" w:rsidRDefault="009C3D64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Минимальный размер арендной платы на территории городских поселений Вышневолоцкого городского округа фактически составляет 3136*43,78*2%*0,75= 2059 руб. в год.</w:t>
      </w:r>
    </w:p>
    <w:p w:rsidR="00AC6C92" w:rsidRDefault="00AC6C92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:rsidR="009C3D64" w:rsidRPr="00AC6C92" w:rsidRDefault="009C3D64" w:rsidP="00B9790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AC6C92">
        <w:rPr>
          <w:b/>
        </w:rPr>
        <w:t>К= (2059/(43,78*2%*20) = 118</w:t>
      </w:r>
    </w:p>
    <w:p w:rsidR="009C3D64" w:rsidRDefault="009C3D64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:rsidR="00AC6C92" w:rsidRDefault="00AC6C92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 xml:space="preserve">Минимальный размер арендной платы для </w:t>
      </w:r>
      <w:r w:rsidRPr="00BC1A84">
        <w:t>земельных участков,</w:t>
      </w:r>
      <w:r>
        <w:t xml:space="preserve"> </w:t>
      </w:r>
      <w:r w:rsidRPr="00BC1A84">
        <w:t xml:space="preserve">расположенных на территории </w:t>
      </w:r>
      <w:r>
        <w:t xml:space="preserve">вне </w:t>
      </w:r>
      <w:r w:rsidRPr="00BC1A84">
        <w:t>населенных пунктов Вышневолоцкого городского округа</w:t>
      </w:r>
      <w:r>
        <w:t xml:space="preserve"> составляет 20*3,18*2%*0,75= 1 руб. в год.</w:t>
      </w:r>
    </w:p>
    <w:p w:rsidR="00AC6C92" w:rsidRDefault="00AC6C92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Фактически используется площадь земельного участка (25+3+25+</w:t>
      </w:r>
      <w:proofErr w:type="gramStart"/>
      <w:r>
        <w:t>3)*</w:t>
      </w:r>
      <w:proofErr w:type="gramEnd"/>
      <w:r>
        <w:t xml:space="preserve">(25+3+25+3)= 3136 </w:t>
      </w:r>
      <w:proofErr w:type="spellStart"/>
      <w:r>
        <w:t>кв.м</w:t>
      </w:r>
      <w:proofErr w:type="spellEnd"/>
      <w:r>
        <w:t>.</w:t>
      </w:r>
    </w:p>
    <w:p w:rsidR="00AC6C92" w:rsidRDefault="00AC6C92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Минимальный размер арендной платы на территории городских поселений Вышневолоцкого городского округа фактически составляет 3136*3,18*2%*0,75= 150 руб. в год.</w:t>
      </w:r>
    </w:p>
    <w:p w:rsidR="00AC6C92" w:rsidRDefault="00AC6C92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:rsidR="00AC6C92" w:rsidRPr="00AC6C92" w:rsidRDefault="00AC6C92" w:rsidP="00B9790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AC6C92">
        <w:rPr>
          <w:b/>
        </w:rPr>
        <w:t>К= (150/(3,18*2%*20) = 118</w:t>
      </w:r>
    </w:p>
    <w:p w:rsidR="009C3D64" w:rsidRDefault="009C3D64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:rsidR="00C44394" w:rsidRPr="00C31078" w:rsidRDefault="00AC6C92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О</w:t>
      </w:r>
      <w:r w:rsidR="00C44394" w:rsidRPr="00C31078">
        <w:t>граничени</w:t>
      </w:r>
      <w:r>
        <w:t>е</w:t>
      </w:r>
      <w:r w:rsidR="00C44394" w:rsidRPr="00C31078">
        <w:t xml:space="preserve"> прав, установленных в отношении земельн</w:t>
      </w:r>
      <w:r>
        <w:t>ых</w:t>
      </w:r>
      <w:r w:rsidR="00C44394" w:rsidRPr="00C31078">
        <w:t xml:space="preserve"> участк</w:t>
      </w:r>
      <w:r>
        <w:t>ов</w:t>
      </w:r>
      <w:r w:rsidR="00C44394" w:rsidRPr="00C31078">
        <w:t xml:space="preserve"> (например, запреты и ограничения, связанные с установ</w:t>
      </w:r>
      <w:r>
        <w:t xml:space="preserve">лением охранных и защитных зон) </w:t>
      </w:r>
      <w:proofErr w:type="gramStart"/>
      <w:r>
        <w:t xml:space="preserve">в </w:t>
      </w:r>
      <w:r w:rsidRPr="00AC6C92">
        <w:t xml:space="preserve"> </w:t>
      </w:r>
      <w:r>
        <w:t>договорах</w:t>
      </w:r>
      <w:proofErr w:type="gramEnd"/>
      <w:r>
        <w:t xml:space="preserve"> аренды </w:t>
      </w:r>
      <w:r w:rsidRPr="00C31078">
        <w:t>отсутств</w:t>
      </w:r>
      <w:r>
        <w:t>уют.</w:t>
      </w:r>
    </w:p>
    <w:p w:rsidR="00C44394" w:rsidRPr="00C31078" w:rsidRDefault="00AC6C92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 xml:space="preserve">У </w:t>
      </w:r>
      <w:r w:rsidRPr="00C31078">
        <w:t>арендаторо</w:t>
      </w:r>
      <w:r>
        <w:t xml:space="preserve">в имеется </w:t>
      </w:r>
      <w:r w:rsidR="00C44394" w:rsidRPr="00C31078">
        <w:t>возможность создания неотделим</w:t>
      </w:r>
      <w:r w:rsidR="0090690C">
        <w:t>ых улучшений земельного участка.</w:t>
      </w:r>
    </w:p>
    <w:p w:rsidR="00C44394" w:rsidRPr="00C31078" w:rsidRDefault="00AC6C92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Дополнительные затраты</w:t>
      </w:r>
      <w:r w:rsidR="00C44394" w:rsidRPr="00C31078">
        <w:t xml:space="preserve"> на подготовку или восстановление хозяйственной деятельности на земельном участке</w:t>
      </w:r>
      <w:r>
        <w:t xml:space="preserve"> не требуются.</w:t>
      </w:r>
    </w:p>
    <w:p w:rsidR="00C44394" w:rsidRPr="00C31078" w:rsidRDefault="0032246E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Договором предусмотрено право</w:t>
      </w:r>
      <w:r w:rsidR="00C44394" w:rsidRPr="00C31078">
        <w:t xml:space="preserve"> арендатора на передачу своих прав и обязанностей по договору аренды земельного участка третьим лицам (например, право на предоставление земельного участка в субаренду, передачу его в залог)</w:t>
      </w:r>
      <w:r>
        <w:t>.</w:t>
      </w:r>
    </w:p>
    <w:p w:rsidR="00C44394" w:rsidRDefault="0032246E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 xml:space="preserve">Сведения о </w:t>
      </w:r>
      <w:r w:rsidR="00C44394" w:rsidRPr="00C31078">
        <w:t>субсиди</w:t>
      </w:r>
      <w:r>
        <w:t>ях</w:t>
      </w:r>
      <w:r w:rsidR="00C44394" w:rsidRPr="00C31078">
        <w:t>, предоставляемы</w:t>
      </w:r>
      <w:r>
        <w:t>х</w:t>
      </w:r>
      <w:r w:rsidR="00C44394" w:rsidRPr="00C31078">
        <w:t xml:space="preserve"> арендатору за счет бюджета в целях поддержки деятельности, осуществляемой им на данном земельном участке</w:t>
      </w:r>
      <w:r>
        <w:t xml:space="preserve"> в Администрации Вышневолоцкого городского округа отсутствуют.</w:t>
      </w:r>
    </w:p>
    <w:p w:rsidR="00673CC8" w:rsidRDefault="00673CC8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:rsidR="006362D6" w:rsidRDefault="005A40C4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C4">
        <w:rPr>
          <w:rFonts w:ascii="Times New Roman" w:hAnsi="Times New Roman" w:cs="Times New Roman"/>
          <w:sz w:val="24"/>
          <w:szCs w:val="24"/>
        </w:rPr>
        <w:t xml:space="preserve">Для подготовки финансово-экономического обоснования в адрес арендаторов земельных участков направлены запросы о </w:t>
      </w:r>
      <w:r w:rsidR="006362D6" w:rsidRPr="005A40C4">
        <w:rPr>
          <w:rFonts w:ascii="Times New Roman" w:hAnsi="Times New Roman" w:cs="Times New Roman"/>
          <w:sz w:val="24"/>
          <w:szCs w:val="24"/>
        </w:rPr>
        <w:t>предостав</w:t>
      </w:r>
      <w:r w:rsidRPr="005A40C4">
        <w:rPr>
          <w:rFonts w:ascii="Times New Roman" w:hAnsi="Times New Roman" w:cs="Times New Roman"/>
          <w:sz w:val="24"/>
          <w:szCs w:val="24"/>
        </w:rPr>
        <w:t>лении</w:t>
      </w:r>
      <w:r w:rsidR="006362D6" w:rsidRPr="005A40C4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5A40C4">
        <w:rPr>
          <w:rFonts w:ascii="Times New Roman" w:hAnsi="Times New Roman" w:cs="Times New Roman"/>
          <w:sz w:val="24"/>
          <w:szCs w:val="24"/>
        </w:rPr>
        <w:t>х</w:t>
      </w:r>
      <w:r w:rsidR="006362D6" w:rsidRPr="005A40C4">
        <w:rPr>
          <w:rFonts w:ascii="Times New Roman" w:hAnsi="Times New Roman" w:cs="Times New Roman"/>
          <w:sz w:val="24"/>
          <w:szCs w:val="24"/>
        </w:rPr>
        <w:t>, касающи</w:t>
      </w:r>
      <w:r w:rsidRPr="005A40C4">
        <w:rPr>
          <w:rFonts w:ascii="Times New Roman" w:hAnsi="Times New Roman" w:cs="Times New Roman"/>
          <w:sz w:val="24"/>
          <w:szCs w:val="24"/>
        </w:rPr>
        <w:t>х</w:t>
      </w:r>
      <w:r w:rsidR="006362D6" w:rsidRPr="005A40C4">
        <w:rPr>
          <w:rFonts w:ascii="Times New Roman" w:hAnsi="Times New Roman" w:cs="Times New Roman"/>
          <w:sz w:val="24"/>
          <w:szCs w:val="24"/>
        </w:rPr>
        <w:t xml:space="preserve">ся арендуемых земельных участков </w:t>
      </w:r>
      <w:r w:rsidRPr="005A40C4">
        <w:rPr>
          <w:rFonts w:ascii="Times New Roman" w:hAnsi="Times New Roman" w:cs="Times New Roman"/>
          <w:sz w:val="24"/>
          <w:szCs w:val="24"/>
        </w:rPr>
        <w:t xml:space="preserve">с видом разрешенного использования – связь </w:t>
      </w:r>
      <w:r w:rsidR="006362D6" w:rsidRPr="005A40C4">
        <w:rPr>
          <w:rFonts w:ascii="Times New Roman" w:hAnsi="Times New Roman" w:cs="Times New Roman"/>
          <w:sz w:val="24"/>
          <w:szCs w:val="24"/>
        </w:rPr>
        <w:t>на территории Вышневолоцкого городского округа (отдельно по каждому земельному участку):</w:t>
      </w:r>
    </w:p>
    <w:p w:rsidR="006362D6" w:rsidRPr="005A40C4" w:rsidRDefault="006362D6" w:rsidP="00B9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C4">
        <w:rPr>
          <w:rFonts w:ascii="Times New Roman" w:eastAsia="Times New Roman" w:hAnsi="Times New Roman" w:cs="Times New Roman"/>
          <w:sz w:val="24"/>
          <w:szCs w:val="24"/>
        </w:rPr>
        <w:t xml:space="preserve">- об оценке доходности земельных участков, полученной арендаторами от осуществления коммерческой деятельности на таких участках, </w:t>
      </w:r>
    </w:p>
    <w:p w:rsidR="006362D6" w:rsidRPr="005A40C4" w:rsidRDefault="006362D6" w:rsidP="00B9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C4">
        <w:rPr>
          <w:rFonts w:ascii="Times New Roman" w:eastAsia="Times New Roman" w:hAnsi="Times New Roman" w:cs="Times New Roman"/>
          <w:sz w:val="24"/>
          <w:szCs w:val="24"/>
        </w:rPr>
        <w:t xml:space="preserve">- о доле арендных платежей совместно с затратами арендаторов, связанными с использованием этих земельных участков, </w:t>
      </w:r>
    </w:p>
    <w:p w:rsidR="006362D6" w:rsidRPr="005A40C4" w:rsidRDefault="006362D6" w:rsidP="00B9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C4">
        <w:rPr>
          <w:rFonts w:ascii="Times New Roman" w:eastAsia="Times New Roman" w:hAnsi="Times New Roman" w:cs="Times New Roman"/>
          <w:sz w:val="24"/>
          <w:szCs w:val="24"/>
        </w:rPr>
        <w:t>- о влиянии размера арендной платы на рентабельность деятельности по эксплуатации земельных участков и фактическую возможность арендаторов уплачивать арендную плату, с учетом установленной ставки.</w:t>
      </w:r>
    </w:p>
    <w:p w:rsidR="006362D6" w:rsidRDefault="00D607E2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слов арендаторов запрашиваемая информация является коммерческой тайной и не может быть предоставлена в адрес Администрации </w:t>
      </w:r>
      <w:r w:rsidRPr="005A40C4">
        <w:rPr>
          <w:rFonts w:ascii="Times New Roman" w:hAnsi="Times New Roman" w:cs="Times New Roman"/>
          <w:sz w:val="24"/>
          <w:szCs w:val="24"/>
        </w:rPr>
        <w:t>Вышневолоцкого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7E2" w:rsidRDefault="00D607E2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7E2" w:rsidRDefault="00D607E2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расчетов использованы </w:t>
      </w:r>
      <w:r w:rsidR="007970FF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сети интернет.</w:t>
      </w:r>
    </w:p>
    <w:p w:rsidR="00D607E2" w:rsidRPr="00D607E2" w:rsidRDefault="00D607E2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7E2">
        <w:rPr>
          <w:rFonts w:ascii="Times New Roman" w:hAnsi="Times New Roman" w:cs="Times New Roman"/>
          <w:sz w:val="24"/>
          <w:szCs w:val="24"/>
        </w:rPr>
        <w:t xml:space="preserve">По данным РБК </w:t>
      </w:r>
      <w:r w:rsidR="008C2501">
        <w:rPr>
          <w:rFonts w:ascii="Times New Roman" w:hAnsi="Times New Roman" w:cs="Times New Roman"/>
          <w:sz w:val="24"/>
          <w:szCs w:val="24"/>
        </w:rPr>
        <w:t xml:space="preserve">(сайт </w:t>
      </w:r>
      <w:hyperlink r:id="rId16" w:history="1">
        <w:r w:rsidR="008C2501" w:rsidRPr="00636105">
          <w:rPr>
            <w:rStyle w:val="af2"/>
            <w:rFonts w:ascii="Times New Roman" w:hAnsi="Times New Roman" w:cs="Times New Roman"/>
            <w:sz w:val="24"/>
            <w:szCs w:val="24"/>
          </w:rPr>
          <w:t>https://plus.rbc.ru/news/5fa59a8c7a8aa95ec67b6fc6</w:t>
        </w:r>
      </w:hyperlink>
      <w:r w:rsidR="008C2501">
        <w:rPr>
          <w:rStyle w:val="af2"/>
          <w:rFonts w:ascii="Times New Roman" w:hAnsi="Times New Roman" w:cs="Times New Roman"/>
          <w:sz w:val="24"/>
          <w:szCs w:val="24"/>
        </w:rPr>
        <w:t xml:space="preserve">) </w:t>
      </w:r>
      <w:r w:rsidR="008C2501" w:rsidRPr="008C2501">
        <w:t>ч</w:t>
      </w:r>
      <w:r w:rsidRPr="00D607E2">
        <w:rPr>
          <w:rFonts w:ascii="Times New Roman" w:hAnsi="Times New Roman" w:cs="Times New Roman"/>
          <w:sz w:val="24"/>
          <w:szCs w:val="24"/>
        </w:rPr>
        <w:t xml:space="preserve">исло вышек сотовой связи в РФ </w:t>
      </w:r>
      <w:r w:rsidRPr="008C2501">
        <w:rPr>
          <w:rFonts w:ascii="Times New Roman" w:hAnsi="Times New Roman" w:cs="Times New Roman"/>
          <w:b/>
          <w:sz w:val="24"/>
          <w:szCs w:val="24"/>
          <w:u w:val="single"/>
        </w:rPr>
        <w:t>ежегодно растет на 7% из-за увеличения трафика.</w:t>
      </w:r>
      <w:r w:rsidRPr="00D607E2">
        <w:rPr>
          <w:rFonts w:ascii="Times New Roman" w:hAnsi="Times New Roman" w:cs="Times New Roman"/>
          <w:sz w:val="24"/>
          <w:szCs w:val="24"/>
        </w:rPr>
        <w:t xml:space="preserve"> Операторам становится выгоднее арендовать инфраструктуру у независимых операторов, чтобы больше вкладывать в развитие профильного бизнеса.</w:t>
      </w:r>
    </w:p>
    <w:p w:rsidR="00D607E2" w:rsidRPr="00D607E2" w:rsidRDefault="00D607E2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7E2">
        <w:rPr>
          <w:rFonts w:ascii="Times New Roman" w:hAnsi="Times New Roman" w:cs="Times New Roman"/>
          <w:sz w:val="24"/>
          <w:szCs w:val="24"/>
        </w:rPr>
        <w:t xml:space="preserve">По итогам прошлого года объем рынка телекоммуникаций в России составил 1,73 трлн руб. при росте 2,1%, подсчитали аналитики «ТМТ Консалтинга». Большую часть выручки обеспечили операторы мобильной связи. Так, по данным корпоративной отчетности, выручка МТС в России в 2019 году составила 472,6 млрд руб., «МегаФона» — 343,4 млрд руб., «ВымпелКома» — 289,9 млрд руб., Tele2 — 163,3 млрд руб. По данным «ТМТ Консалтинга», на 147 млн жителей страны приходится 260 млн сим-карт. При этом граждане пользуются гаджетами все активнее: только в первом полугодии трафик в сотовых сетях, по данным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>, вырос в полтора раза, достигнув 5 млрд гигабайт.</w:t>
      </w:r>
    </w:p>
    <w:p w:rsidR="00D607E2" w:rsidRPr="00D607E2" w:rsidRDefault="00D607E2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7E2">
        <w:rPr>
          <w:rFonts w:ascii="Times New Roman" w:hAnsi="Times New Roman" w:cs="Times New Roman"/>
          <w:sz w:val="24"/>
          <w:szCs w:val="24"/>
        </w:rPr>
        <w:t xml:space="preserve">В этой ситуации растет нагрузка и на инфраструктуру операторов мобильной связи. Согласно данным AC&amp;M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>, по итогам 2019 года число антенно-мачтовых сооружений приблизилось к 79 тыс., при этом ежегодно их количество увеличивается на 7%. По числу вышек, мачт и других конструкций для размещения объектов сотовой связи Россия уже находится на первом месте в Европе, а в мире уступает лишь Китаю, США, Индии, Японии и Индонезии.</w:t>
      </w:r>
    </w:p>
    <w:p w:rsidR="00D607E2" w:rsidRPr="00D607E2" w:rsidRDefault="00D607E2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7E2">
        <w:rPr>
          <w:rFonts w:ascii="Times New Roman" w:hAnsi="Times New Roman" w:cs="Times New Roman"/>
          <w:sz w:val="24"/>
          <w:szCs w:val="24"/>
        </w:rPr>
        <w:lastRenderedPageBreak/>
        <w:t xml:space="preserve">Примечательно, что из 5 тыс. введенных в 2019 году в строй вышек половину запустили независимые инфраструктурные компании. По данным AC&amp;M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, их парк растет на 20–30% ежегодно, в то время как сами операторы увеличивают свою базу лишь на 3–4% объектов в год. Лидером прироста среди независимых игроков стала компания «Русские башни», построившая в 2019 году 1,1 тыс. вышек, доведя общий портфель до 5 тыс. объектов (сегодня портфель компании превысил 6 тыс. объектов). Более половины вышек связи инфраструктурные компании ввели в строй в Москве. В AC&amp;M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поясняют, что именно в столице операторы, в частности МТС и «МегаФон», «испытывают самую большую потребность в новых сайтах для сгущения сетей». В 2020 и 2021 годах аналитики ожидают запуска в эксплуатацию не менее 4 тыс. объектов сотовой связи ежегодно, прогнозируя, что половину нового парка обеспечат независимые компании. «Более половины новых станций вводится в строй не для расширения пятна покрытия, а чтобы обеспечить адекватную емкость сети в условиях беспрецедентного роста трафика», — объясняют в AC&amp;M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>.</w:t>
      </w:r>
    </w:p>
    <w:p w:rsidR="00D607E2" w:rsidRPr="00D607E2" w:rsidRDefault="00D607E2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7E2">
        <w:rPr>
          <w:rFonts w:ascii="Times New Roman" w:hAnsi="Times New Roman" w:cs="Times New Roman"/>
          <w:sz w:val="24"/>
          <w:szCs w:val="24"/>
        </w:rPr>
        <w:t>В то же время модернизация и расширение покрытия сотовых сетей укладываются в цели и задачи нацпроекта «Цифровая экономика». Согласно направлению «Информационная инфраструктура», к 2024 году в России все автодороги федерального значения должны быть обеспечены сотовой связью, во всех городах-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миллионниках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должны быть развернуты сети 5G, причем последние технологии к этому сроку должны использоваться как минимум в пяти отраслях экономики. В исследовании AC&amp;M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говорится о готовности операторов и инфраструктурных компаний к развертыванию сетей 5G. При этом аналитики отмечают присутствие «Русских башен» в 2019 году уже в 63 регионах страны, «Сервис Телекома» — в 17 регионах, компании «Вертикаль» — в десяти.</w:t>
      </w:r>
    </w:p>
    <w:p w:rsidR="00D607E2" w:rsidRPr="00D607E2" w:rsidRDefault="00D607E2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7E2">
        <w:rPr>
          <w:rFonts w:ascii="Times New Roman" w:hAnsi="Times New Roman" w:cs="Times New Roman"/>
          <w:sz w:val="24"/>
          <w:szCs w:val="24"/>
        </w:rPr>
        <w:t xml:space="preserve">Инфраструктурные компании зарабатывают на сдаче своих объектов в аренду нескольким операторам одновременно. По данным AC&amp;M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, речь идет </w:t>
      </w:r>
      <w:r w:rsidRPr="00D607E2">
        <w:rPr>
          <w:rFonts w:ascii="Times New Roman" w:hAnsi="Times New Roman" w:cs="Times New Roman"/>
          <w:b/>
          <w:sz w:val="24"/>
          <w:szCs w:val="24"/>
          <w:u w:val="single"/>
        </w:rPr>
        <w:t>о среднемесячной ставке 27 тыс. руб. за место на вышке</w:t>
      </w:r>
      <w:r w:rsidRPr="00D607E2">
        <w:rPr>
          <w:rFonts w:ascii="Times New Roman" w:hAnsi="Times New Roman" w:cs="Times New Roman"/>
          <w:sz w:val="24"/>
          <w:szCs w:val="24"/>
        </w:rPr>
        <w:t xml:space="preserve">. В «Русских башнях» рассказывают, что еще десять лет назад первых клиентов из Tele2 приходилось уговаривать арендовать стартовые 55 башен. Технический директор «Tele2 Россия»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Ритварс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Криевс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вспоминал в беседе с РБК+, что оператор решил попробовать воспользоваться такими услугами, поскольку «увидел реальную возможность экономии». Развитию бизнеса помогала конъюнктура — кризис 2008 года и переход операторов сотовой связи на LTE-сети в 2013 году. «В годы финансовых кризисов операторы с большим энтузиазмом начали использовать эти возможности. У них всплывает необходимость погашения долгов, и инвестиции в оборудование становятся накладными из-за роста курса валют. Они с удовольствием экономят, если есть на чем», — рассуждает управляющий партнер AC&amp;M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Михаил Алексеев.</w:t>
      </w:r>
    </w:p>
    <w:p w:rsidR="00D607E2" w:rsidRPr="00D607E2" w:rsidRDefault="00D607E2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7E2">
        <w:rPr>
          <w:rFonts w:ascii="Times New Roman" w:hAnsi="Times New Roman" w:cs="Times New Roman"/>
          <w:sz w:val="24"/>
          <w:szCs w:val="24"/>
        </w:rPr>
        <w:t xml:space="preserve">Сейчас уговаривать операторов уже не приходится. В 2019 году емкость арендного рынка вышек сотовой связи, по данным AC&amp;M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, приблизилась к 6 млрд руб., причем выручка инфраструктурных компаний может вырасти еще на 600–700 млн руб. в год. Президент группы компаний «Русские башни» Александр Чуб объясняет всплеск интереса к услугам независимых компаний так: «Основное преимущество для операторов от партнерства с нами заключается в том, что они не тратят средства и время на решение стандартных инфраструктурных задач, а могут сосредоточиться на поиске новых способов развития бизнеса и управления клиентскими ожиданиями. Помимо экономической эффективности такого сотрудничества операторы получают гарантированную, стабильную техническую поддержку». Михаил Алексеев согласен с такой оценкой: «Операторам все время требуется существенное уплотнение числа сайтов. Если они будут развиваться быстро, значительная часть объектов может достаться инфраструктурным компаниям. Потому что может оказаться, что с большой скоростью операторы просто не смогут строить». Основатель международной аналитической компании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TowerXсhange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Кирон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Осмотерли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говорит, что услуги инфраструктурных компаний снимают с операторов «бремя капитальных вложений и эксплуатационных расходов на техническое обслуживание, позволяя сосредоточить свои инвестиции на новых технологиях, улучшении качества обслуживания клиентов и конкурентоспособных тарифах». Эксперт также считает, что независимые компании эффективнее используют ресурсы — и кадровые, и материальные.</w:t>
      </w:r>
    </w:p>
    <w:p w:rsidR="00D607E2" w:rsidRPr="00D607E2" w:rsidRDefault="00D607E2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7E2">
        <w:rPr>
          <w:rFonts w:ascii="Times New Roman" w:hAnsi="Times New Roman" w:cs="Times New Roman"/>
          <w:sz w:val="24"/>
          <w:szCs w:val="24"/>
        </w:rPr>
        <w:t xml:space="preserve">В AC&amp;M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ожидают роста арендной выручки независимых компаний в РФ до 7 млрд руб. по итогам 2020 года, рассчитывая, что их парк в ближайшие год-два достигнет 15 тыс. конструкций. Примечательно, что по ключевому показателю инфраструктурных компаний —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tenancy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(коэффициент аренды; определяет число операторов на одну </w:t>
      </w:r>
      <w:proofErr w:type="gramStart"/>
      <w:r w:rsidRPr="00D607E2">
        <w:rPr>
          <w:rFonts w:ascii="Times New Roman" w:hAnsi="Times New Roman" w:cs="Times New Roman"/>
          <w:sz w:val="24"/>
          <w:szCs w:val="24"/>
        </w:rPr>
        <w:t>вышку)  —</w:t>
      </w:r>
      <w:proofErr w:type="gramEnd"/>
      <w:r w:rsidRPr="00D607E2">
        <w:rPr>
          <w:rFonts w:ascii="Times New Roman" w:hAnsi="Times New Roman" w:cs="Times New Roman"/>
          <w:sz w:val="24"/>
          <w:szCs w:val="24"/>
        </w:rPr>
        <w:t xml:space="preserve"> Россия идет вровень с рынками других стран. По данным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TowerXchange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, у «Русских башен» и американской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7E2">
        <w:rPr>
          <w:rFonts w:ascii="Times New Roman" w:hAnsi="Times New Roman" w:cs="Times New Roman"/>
          <w:b/>
          <w:sz w:val="24"/>
          <w:szCs w:val="24"/>
          <w:u w:val="single"/>
        </w:rPr>
        <w:t>Tower</w:t>
      </w:r>
      <w:proofErr w:type="spellEnd"/>
      <w:r w:rsidRPr="00D60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 среднем приходится 1,8 арендатора на одну башню</w:t>
      </w:r>
      <w:r w:rsidRPr="00D607E2">
        <w:rPr>
          <w:rFonts w:ascii="Times New Roman" w:hAnsi="Times New Roman" w:cs="Times New Roman"/>
          <w:sz w:val="24"/>
          <w:szCs w:val="24"/>
        </w:rPr>
        <w:t xml:space="preserve">, у испанской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Cellnex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 — 1,4, у немецкой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7E2">
        <w:rPr>
          <w:rFonts w:ascii="Times New Roman" w:hAnsi="Times New Roman" w:cs="Times New Roman"/>
          <w:sz w:val="24"/>
          <w:szCs w:val="24"/>
        </w:rPr>
        <w:t>Funkturm</w:t>
      </w:r>
      <w:proofErr w:type="spellEnd"/>
      <w:r w:rsidRPr="00D607E2">
        <w:rPr>
          <w:rFonts w:ascii="Times New Roman" w:hAnsi="Times New Roman" w:cs="Times New Roman"/>
          <w:sz w:val="24"/>
          <w:szCs w:val="24"/>
        </w:rPr>
        <w:t> — 2,3.</w:t>
      </w:r>
    </w:p>
    <w:p w:rsidR="000D7A47" w:rsidRDefault="000D7A47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BD9" w:rsidRDefault="00793BD9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 арендатором земельных участков на территории Вышневолоцкого городского округа является ЗАО «Русские башни</w:t>
      </w:r>
      <w:r w:rsidRPr="00BE1C69">
        <w:rPr>
          <w:rFonts w:ascii="Times New Roman" w:hAnsi="Times New Roman" w:cs="Times New Roman"/>
          <w:sz w:val="24"/>
          <w:szCs w:val="24"/>
        </w:rPr>
        <w:t>» (</w:t>
      </w:r>
      <w:r w:rsidR="00930124" w:rsidRPr="00BE1C69">
        <w:rPr>
          <w:rFonts w:ascii="Times New Roman" w:hAnsi="Times New Roman" w:cs="Times New Roman"/>
          <w:sz w:val="24"/>
          <w:szCs w:val="24"/>
        </w:rPr>
        <w:t>9</w:t>
      </w:r>
      <w:r w:rsidRPr="00BE1C69">
        <w:rPr>
          <w:rFonts w:ascii="Times New Roman" w:hAnsi="Times New Roman" w:cs="Times New Roman"/>
          <w:sz w:val="24"/>
          <w:szCs w:val="24"/>
        </w:rPr>
        <w:t xml:space="preserve">   земельных участков)</w:t>
      </w:r>
      <w:r w:rsidR="008C2501">
        <w:rPr>
          <w:rFonts w:ascii="Times New Roman" w:hAnsi="Times New Roman" w:cs="Times New Roman"/>
          <w:sz w:val="24"/>
          <w:szCs w:val="24"/>
        </w:rPr>
        <w:t>.</w:t>
      </w:r>
    </w:p>
    <w:p w:rsidR="00D607E2" w:rsidRDefault="00D607E2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доход от использования арендатором </w:t>
      </w:r>
      <w:r w:rsidR="008C2501">
        <w:rPr>
          <w:rFonts w:ascii="Times New Roman" w:hAnsi="Times New Roman" w:cs="Times New Roman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sz w:val="24"/>
          <w:szCs w:val="24"/>
        </w:rPr>
        <w:t>вышки сотовой связи: 27000*1,8= 48600 руб. в месяц</w:t>
      </w:r>
      <w:r w:rsidR="008C2501">
        <w:rPr>
          <w:rFonts w:ascii="Times New Roman" w:hAnsi="Times New Roman" w:cs="Times New Roman"/>
          <w:sz w:val="24"/>
          <w:szCs w:val="24"/>
        </w:rPr>
        <w:t>.</w:t>
      </w:r>
    </w:p>
    <w:p w:rsidR="00D80E7E" w:rsidRDefault="00D80E7E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48600 * 12 = 583 200 руб. в год.</w:t>
      </w:r>
    </w:p>
    <w:p w:rsidR="00D80E7E" w:rsidRDefault="00D80E7E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арендные платежи за земельные участки по действующим в 2020 году ставкам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Ксэо</w:t>
      </w:r>
      <w:proofErr w:type="spellEnd"/>
      <w:r>
        <w:rPr>
          <w:rFonts w:ascii="Times New Roman" w:hAnsi="Times New Roman" w:cs="Times New Roman"/>
          <w:sz w:val="24"/>
          <w:szCs w:val="24"/>
        </w:rPr>
        <w:t>=80, 170, 120) в среднем состав</w:t>
      </w:r>
      <w:r w:rsidR="002B15FA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3,2% от дохода.</w:t>
      </w:r>
    </w:p>
    <w:p w:rsidR="00D80E7E" w:rsidRDefault="00D80E7E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арендные платежи за земельные участки с учетом К=118 составляет 5,9% от дохода</w:t>
      </w:r>
      <w:r w:rsidR="00CD289F">
        <w:rPr>
          <w:rFonts w:ascii="Times New Roman" w:hAnsi="Times New Roman" w:cs="Times New Roman"/>
          <w:sz w:val="24"/>
          <w:szCs w:val="24"/>
        </w:rPr>
        <w:t xml:space="preserve"> на </w:t>
      </w:r>
      <w:r w:rsidR="00C5270A">
        <w:rPr>
          <w:rFonts w:ascii="Times New Roman" w:hAnsi="Times New Roman" w:cs="Times New Roman"/>
          <w:sz w:val="24"/>
          <w:szCs w:val="24"/>
        </w:rPr>
        <w:t xml:space="preserve">территории городских населённых пунктов, 0,4% </w:t>
      </w:r>
      <w:r w:rsidR="008C2501">
        <w:rPr>
          <w:rFonts w:ascii="Times New Roman" w:hAnsi="Times New Roman" w:cs="Times New Roman"/>
          <w:sz w:val="24"/>
          <w:szCs w:val="24"/>
        </w:rPr>
        <w:t xml:space="preserve">от </w:t>
      </w:r>
      <w:r w:rsidR="00C5270A">
        <w:rPr>
          <w:rFonts w:ascii="Times New Roman" w:hAnsi="Times New Roman" w:cs="Times New Roman"/>
          <w:sz w:val="24"/>
          <w:szCs w:val="24"/>
        </w:rPr>
        <w:t xml:space="preserve">дохода на территории сельских населённых </w:t>
      </w:r>
      <w:proofErr w:type="gramStart"/>
      <w:r w:rsidR="00C5270A">
        <w:rPr>
          <w:rFonts w:ascii="Times New Roman" w:hAnsi="Times New Roman" w:cs="Times New Roman"/>
          <w:sz w:val="24"/>
          <w:szCs w:val="24"/>
        </w:rPr>
        <w:t>пунктов,  0</w:t>
      </w:r>
      <w:proofErr w:type="gramEnd"/>
      <w:r w:rsidR="00C5270A">
        <w:rPr>
          <w:rFonts w:ascii="Times New Roman" w:hAnsi="Times New Roman" w:cs="Times New Roman"/>
          <w:sz w:val="24"/>
          <w:szCs w:val="24"/>
        </w:rPr>
        <w:t>,02% от дохода на вне территорий населённых пунктов</w:t>
      </w:r>
      <w:r w:rsidR="00CD2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E7E" w:rsidRDefault="00D80E7E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E7E" w:rsidRPr="006840FB" w:rsidRDefault="00D80E7E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A40C4">
        <w:rPr>
          <w:rFonts w:ascii="Times New Roman" w:hAnsi="Times New Roman" w:cs="Times New Roman"/>
          <w:sz w:val="24"/>
          <w:szCs w:val="24"/>
        </w:rPr>
        <w:t xml:space="preserve">азмер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существенно не повлияет </w:t>
      </w:r>
      <w:r w:rsidRPr="005A40C4">
        <w:rPr>
          <w:rFonts w:ascii="Times New Roman" w:hAnsi="Times New Roman" w:cs="Times New Roman"/>
          <w:sz w:val="24"/>
          <w:szCs w:val="24"/>
        </w:rPr>
        <w:t>на рентабельность деятельности по эксплуатации земельных участков и фактическую возможность арендаторов уплачивать арендную плату, с учетом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A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коэффициентов.</w:t>
      </w:r>
    </w:p>
    <w:p w:rsidR="002B15FA" w:rsidRPr="00930124" w:rsidRDefault="002B15FA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CC8" w:rsidRPr="00930124" w:rsidRDefault="00673CC8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124">
        <w:rPr>
          <w:rFonts w:ascii="Times New Roman" w:hAnsi="Times New Roman" w:cs="Times New Roman"/>
          <w:sz w:val="24"/>
          <w:szCs w:val="24"/>
        </w:rPr>
        <w:t>По данным Территориального органа Федеральной службы государственной статистики по Тверской области индекс потребительских цен по услугам телекоммуникационным по Тверской области за период 2020 года к декабрю 2019 года составляет 102 %, за период 1 квартал 2021 года к 1 кварталу 2020 года составляет 105 %</w:t>
      </w:r>
      <w:r w:rsidR="00930124">
        <w:rPr>
          <w:rFonts w:ascii="Times New Roman" w:hAnsi="Times New Roman" w:cs="Times New Roman"/>
          <w:sz w:val="24"/>
          <w:szCs w:val="24"/>
        </w:rPr>
        <w:t>, что свидетельствует о росте доходов собственников вышек сотовой связи.</w:t>
      </w:r>
    </w:p>
    <w:p w:rsidR="00BE1C69" w:rsidRDefault="00BE1C69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:rsidR="00673CC8" w:rsidRDefault="00930124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Используя данные сайта Прозрачный бизнес (</w:t>
      </w:r>
      <w:hyperlink r:id="rId17" w:history="1">
        <w:r w:rsidRPr="003101B2">
          <w:rPr>
            <w:rStyle w:val="af2"/>
          </w:rPr>
          <w:t>https://pb.nalog.ru/</w:t>
        </w:r>
      </w:hyperlink>
      <w:r>
        <w:t xml:space="preserve">)  проанализированы доходы и расходы  арендаторов </w:t>
      </w:r>
      <w:r w:rsidRPr="00C31078">
        <w:t>земельн</w:t>
      </w:r>
      <w:r w:rsidRPr="00CD289F">
        <w:t xml:space="preserve">ых </w:t>
      </w:r>
      <w:r w:rsidRPr="00C31078">
        <w:t>участк</w:t>
      </w:r>
      <w:r w:rsidRPr="00CD289F">
        <w:t>ов с видом</w:t>
      </w:r>
      <w:r>
        <w:t xml:space="preserve"> разрешенного использования «Связь» предоставленных в аренду на территории Вышневолоцкого городского округа</w:t>
      </w:r>
      <w:r w:rsidR="00F21320">
        <w:t>:</w:t>
      </w:r>
    </w:p>
    <w:p w:rsidR="00673CC8" w:rsidRDefault="00B3551A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АО «РУССКИЕ БАШНИ»</w:t>
      </w:r>
    </w:p>
    <w:p w:rsidR="00673CC8" w:rsidRPr="00F21320" w:rsidRDefault="00673CC8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Среднесписочная численность работников организации</w:t>
      </w:r>
      <w:r w:rsidR="00930124" w:rsidRPr="00F21320">
        <w:rPr>
          <w:rFonts w:ascii="Times New Roman" w:eastAsia="Times New Roman" w:hAnsi="Times New Roman" w:cs="Times New Roman"/>
          <w:sz w:val="24"/>
          <w:szCs w:val="24"/>
        </w:rPr>
        <w:t xml:space="preserve"> в 2020 году</w:t>
      </w:r>
      <w:r w:rsidRPr="00F213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30124" w:rsidRPr="00F21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320">
        <w:rPr>
          <w:rFonts w:ascii="Times New Roman" w:eastAsia="Times New Roman" w:hAnsi="Times New Roman" w:cs="Times New Roman"/>
          <w:sz w:val="24"/>
          <w:szCs w:val="24"/>
        </w:rPr>
        <w:t>137</w:t>
      </w:r>
    </w:p>
    <w:p w:rsidR="00673CC8" w:rsidRPr="00F21320" w:rsidRDefault="00673CC8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Суммы доходов и расходов по данным бухгалтерской отчетности организации</w:t>
      </w:r>
      <w:r w:rsidR="00930124" w:rsidRPr="00F21320">
        <w:rPr>
          <w:rFonts w:ascii="Times New Roman" w:eastAsia="Times New Roman" w:hAnsi="Times New Roman" w:cs="Times New Roman"/>
          <w:sz w:val="24"/>
          <w:szCs w:val="24"/>
        </w:rPr>
        <w:t xml:space="preserve"> за 2019 год</w:t>
      </w:r>
      <w:r w:rsidRPr="00F21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CC8" w:rsidRPr="00F21320" w:rsidRDefault="00673CC8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3 028 110 000 руб. / 2 500 666 000 руб.</w:t>
      </w:r>
    </w:p>
    <w:p w:rsidR="00673CC8" w:rsidRDefault="00B3551A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АО «ПБК»</w:t>
      </w:r>
    </w:p>
    <w:p w:rsidR="00673CC8" w:rsidRPr="00F21320" w:rsidRDefault="00673CC8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Среднесписочная численность работников организации</w:t>
      </w:r>
      <w:r w:rsidR="00930124" w:rsidRPr="00F21320">
        <w:rPr>
          <w:rFonts w:ascii="Times New Roman" w:eastAsia="Times New Roman" w:hAnsi="Times New Roman" w:cs="Times New Roman"/>
          <w:sz w:val="24"/>
          <w:szCs w:val="24"/>
        </w:rPr>
        <w:t xml:space="preserve"> в 2020 году</w:t>
      </w:r>
      <w:r w:rsidRPr="00F213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30124" w:rsidRPr="00F21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320">
        <w:rPr>
          <w:rFonts w:ascii="Times New Roman" w:eastAsia="Times New Roman" w:hAnsi="Times New Roman" w:cs="Times New Roman"/>
          <w:sz w:val="24"/>
          <w:szCs w:val="24"/>
        </w:rPr>
        <w:t>187</w:t>
      </w:r>
    </w:p>
    <w:p w:rsidR="00673CC8" w:rsidRPr="00F21320" w:rsidRDefault="00673CC8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Суммы доходов и расходов по данным бухгалтерской отчетности организации</w:t>
      </w:r>
      <w:r w:rsidR="00930124" w:rsidRPr="00F21320">
        <w:rPr>
          <w:rFonts w:ascii="Times New Roman" w:eastAsia="Times New Roman" w:hAnsi="Times New Roman" w:cs="Times New Roman"/>
          <w:sz w:val="24"/>
          <w:szCs w:val="24"/>
        </w:rPr>
        <w:t xml:space="preserve"> за 2019 год</w:t>
      </w:r>
      <w:r w:rsidRPr="00F21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CC8" w:rsidRPr="00F21320" w:rsidRDefault="00673CC8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10 416 888 000 руб. / 5 533 551 000 руб.</w:t>
      </w:r>
    </w:p>
    <w:p w:rsidR="00673CC8" w:rsidRPr="00F21320" w:rsidRDefault="00B3551A" w:rsidP="00B97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«ГЛОБАЛ ПАРТНЕР»</w:t>
      </w:r>
      <w:r w:rsidR="00673CC8" w:rsidRPr="00F21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3CC8" w:rsidRPr="00F21320" w:rsidRDefault="00673CC8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Среднесписочная численность работников организации</w:t>
      </w:r>
      <w:r w:rsidR="00F21320" w:rsidRPr="00F21320">
        <w:rPr>
          <w:rFonts w:ascii="Times New Roman" w:eastAsia="Times New Roman" w:hAnsi="Times New Roman" w:cs="Times New Roman"/>
          <w:sz w:val="24"/>
          <w:szCs w:val="24"/>
        </w:rPr>
        <w:t xml:space="preserve"> в 2020 году: 0</w:t>
      </w:r>
    </w:p>
    <w:p w:rsidR="00673CC8" w:rsidRPr="00F21320" w:rsidRDefault="00673CC8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Суммы доходов и расходов по данным бухгалтерской отчетности организации</w:t>
      </w:r>
      <w:r w:rsidR="00F21320" w:rsidRPr="00F21320">
        <w:rPr>
          <w:rFonts w:ascii="Times New Roman" w:eastAsia="Times New Roman" w:hAnsi="Times New Roman" w:cs="Times New Roman"/>
          <w:sz w:val="24"/>
          <w:szCs w:val="24"/>
        </w:rPr>
        <w:t xml:space="preserve"> за 2019 год</w:t>
      </w:r>
      <w:r w:rsidRPr="00F21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CC8" w:rsidRPr="00F21320" w:rsidRDefault="00673CC8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10 130 000 руб. / 7 266 000 руб.</w:t>
      </w:r>
    </w:p>
    <w:p w:rsidR="00F21320" w:rsidRDefault="00B3551A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ООО «ПЛАТИНУМ»</w:t>
      </w:r>
    </w:p>
    <w:p w:rsidR="00F21320" w:rsidRPr="00F21320" w:rsidRDefault="00F21320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Среднесписочная численность работников организации в 2020 году: 5</w:t>
      </w:r>
    </w:p>
    <w:p w:rsidR="00F21320" w:rsidRPr="00F21320" w:rsidRDefault="00F21320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Суммы доходов и расходов по данным бухгалтерской отчетности организации за 2019 год:</w:t>
      </w:r>
    </w:p>
    <w:p w:rsidR="00F21320" w:rsidRPr="00F21320" w:rsidRDefault="00F21320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134 189 000 руб. / 130 833 000 руб.</w:t>
      </w:r>
    </w:p>
    <w:p w:rsidR="00F21320" w:rsidRPr="00F21320" w:rsidRDefault="00B3551A" w:rsidP="00B97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ПУБЛИЧНОЕ АКЦИОНЕРНОЕ ОБЩЕСТВО «МОБИЛЬНЫЕ ТЕЛЕСИСТЕМЫ»</w:t>
      </w:r>
    </w:p>
    <w:p w:rsidR="00F21320" w:rsidRPr="00F21320" w:rsidRDefault="00F21320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Находится в процессе реорганизации</w:t>
      </w:r>
    </w:p>
    <w:p w:rsidR="00F21320" w:rsidRPr="00F21320" w:rsidRDefault="00F21320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Сведения о публикации сообщений в журнале «Вестник государственной регистрации»:</w:t>
      </w:r>
    </w:p>
    <w:p w:rsidR="00F21320" w:rsidRPr="00F21320" w:rsidRDefault="00F21320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Сведения о превышающей 1000 рублей задолженности по уплате налогов, которая направлялась на взыскание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судебному приставу-исполнителю на 1 мая 2021 года:</w:t>
      </w:r>
    </w:p>
    <w:p w:rsidR="00F21320" w:rsidRPr="00F21320" w:rsidRDefault="00F21320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не имеет задолженность</w:t>
      </w:r>
    </w:p>
    <w:p w:rsidR="00673CC8" w:rsidRPr="00F21320" w:rsidRDefault="00B3551A" w:rsidP="00B97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«</w:t>
      </w:r>
      <w:r w:rsidR="00673CC8" w:rsidRPr="00F21320">
        <w:rPr>
          <w:rFonts w:ascii="Times New Roman" w:eastAsia="Times New Roman" w:hAnsi="Times New Roman" w:cs="Times New Roman"/>
          <w:sz w:val="24"/>
          <w:szCs w:val="24"/>
        </w:rPr>
        <w:t>МЕГАФОН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73CC8" w:rsidRPr="00F21320">
        <w:rPr>
          <w:rFonts w:ascii="Times New Roman" w:eastAsia="Times New Roman" w:hAnsi="Times New Roman" w:cs="Times New Roman"/>
          <w:sz w:val="24"/>
          <w:szCs w:val="24"/>
        </w:rPr>
        <w:t xml:space="preserve"> Находится в процессе реорганизации</w:t>
      </w:r>
    </w:p>
    <w:p w:rsidR="00673CC8" w:rsidRPr="00F21320" w:rsidRDefault="00673CC8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Сведения о превышающей 1000 рублей задолженности по уплате налогов, которая направлялась на взыскание судебному приставу-исполнителю</w:t>
      </w:r>
      <w:r w:rsidR="00F21320">
        <w:rPr>
          <w:rFonts w:ascii="Times New Roman" w:eastAsia="Times New Roman" w:hAnsi="Times New Roman" w:cs="Times New Roman"/>
          <w:sz w:val="24"/>
          <w:szCs w:val="24"/>
        </w:rPr>
        <w:t xml:space="preserve"> на 1 мая 2021 года</w:t>
      </w:r>
      <w:r w:rsidRPr="00F21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CC8" w:rsidRPr="00F21320" w:rsidRDefault="00673CC8" w:rsidP="00B9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0">
        <w:rPr>
          <w:rFonts w:ascii="Times New Roman" w:eastAsia="Times New Roman" w:hAnsi="Times New Roman" w:cs="Times New Roman"/>
          <w:sz w:val="24"/>
          <w:szCs w:val="24"/>
        </w:rPr>
        <w:t>не имеет задолженность</w:t>
      </w:r>
      <w:r w:rsidR="00B97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CC8" w:rsidRDefault="00673CC8" w:rsidP="00B9790E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:rsidR="00B9790E" w:rsidRPr="00C31078" w:rsidRDefault="00B9790E" w:rsidP="00B9790E">
      <w:pPr>
        <w:pStyle w:val="pboth"/>
        <w:spacing w:before="0" w:beforeAutospacing="0" w:after="0" w:afterAutospacing="0"/>
        <w:jc w:val="both"/>
        <w:textAlignment w:val="baseline"/>
      </w:pPr>
      <w:r>
        <w:tab/>
        <w:t xml:space="preserve">Указанные организации платежеспособны, изменение размера арендной платы существенно не повлияет на уровень доходности данных организаций. </w:t>
      </w:r>
    </w:p>
    <w:p w:rsidR="00673CC8" w:rsidRPr="00BC1A84" w:rsidRDefault="00673CC8" w:rsidP="00B9790E">
      <w:pPr>
        <w:pStyle w:val="a4"/>
        <w:tabs>
          <w:tab w:val="clear" w:pos="708"/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7A47" w:rsidRDefault="000D7A47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377" w:rsidRPr="006756A9" w:rsidRDefault="00105377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6A9">
        <w:rPr>
          <w:rFonts w:ascii="Times New Roman" w:hAnsi="Times New Roman" w:cs="Times New Roman"/>
          <w:sz w:val="24"/>
          <w:szCs w:val="24"/>
        </w:rPr>
        <w:lastRenderedPageBreak/>
        <w:t>Примеры расчета арендной платы земельных участков по виду разрешенного использования «</w:t>
      </w:r>
      <w:r>
        <w:rPr>
          <w:rFonts w:ascii="Times New Roman" w:hAnsi="Times New Roman" w:cs="Times New Roman"/>
          <w:sz w:val="24"/>
          <w:szCs w:val="24"/>
        </w:rPr>
        <w:t>Связь»</w:t>
      </w:r>
      <w:r w:rsidRPr="006756A9">
        <w:rPr>
          <w:rFonts w:ascii="Times New Roman" w:hAnsi="Times New Roman" w:cs="Times New Roman"/>
          <w:sz w:val="24"/>
          <w:szCs w:val="24"/>
        </w:rPr>
        <w:t xml:space="preserve"> (земли городских населенных </w:t>
      </w:r>
      <w:proofErr w:type="gramStart"/>
      <w:r w:rsidRPr="006756A9">
        <w:rPr>
          <w:rFonts w:ascii="Times New Roman" w:hAnsi="Times New Roman" w:cs="Times New Roman"/>
          <w:sz w:val="24"/>
          <w:szCs w:val="24"/>
        </w:rPr>
        <w:t>пунктов)  из</w:t>
      </w:r>
      <w:proofErr w:type="gramEnd"/>
      <w:r w:rsidRPr="006756A9">
        <w:rPr>
          <w:rFonts w:ascii="Times New Roman" w:hAnsi="Times New Roman" w:cs="Times New Roman"/>
          <w:sz w:val="24"/>
          <w:szCs w:val="24"/>
        </w:rPr>
        <w:t xml:space="preserve"> категории земель - земли населенных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пунктов представлены в Таблице </w:t>
      </w:r>
      <w:r w:rsidR="007970FF">
        <w:rPr>
          <w:rFonts w:ascii="Times New Roman" w:hAnsi="Times New Roman" w:cs="Times New Roman"/>
          <w:sz w:val="24"/>
          <w:szCs w:val="24"/>
        </w:rPr>
        <w:t>1</w:t>
      </w:r>
    </w:p>
    <w:p w:rsidR="00105377" w:rsidRPr="006756A9" w:rsidRDefault="00105377" w:rsidP="00B9790E">
      <w:pPr>
        <w:pStyle w:val="a4"/>
        <w:tabs>
          <w:tab w:val="left" w:pos="4019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7970F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23"/>
        <w:gridCol w:w="2126"/>
        <w:gridCol w:w="1417"/>
        <w:gridCol w:w="1134"/>
        <w:gridCol w:w="851"/>
        <w:gridCol w:w="709"/>
        <w:gridCol w:w="1134"/>
        <w:gridCol w:w="850"/>
        <w:gridCol w:w="1134"/>
      </w:tblGrid>
      <w:tr w:rsidR="00105377" w:rsidRPr="006756A9" w:rsidTr="001C0589">
        <w:trPr>
          <w:trHeight w:val="19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Наименование арендатора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Объект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Площадь земельного участка,          кв.м.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 xml:space="preserve">УП КС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КСЭО в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 xml:space="preserve">Начислено в 2020г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К в 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 xml:space="preserve">Начислено в 2021г </w:t>
            </w:r>
          </w:p>
        </w:tc>
      </w:tr>
      <w:tr w:rsidR="00105377" w:rsidRPr="006756A9" w:rsidTr="001C0589">
        <w:trPr>
          <w:trHeight w:val="225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377" w:rsidRPr="006756A9" w:rsidTr="001C0589">
        <w:trPr>
          <w:trHeight w:val="457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377" w:rsidRPr="006756A9" w:rsidTr="001C0589">
        <w:trPr>
          <w:trHeight w:val="22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EE3262" w:rsidRPr="006756A9" w:rsidTr="001C0589">
        <w:trPr>
          <w:trHeight w:val="22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EE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3262">
              <w:rPr>
                <w:rFonts w:ascii="Arial" w:eastAsia="Times New Roman" w:hAnsi="Arial" w:cs="Arial"/>
                <w:sz w:val="16"/>
                <w:szCs w:val="16"/>
              </w:rPr>
              <w:t xml:space="preserve">ООО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Глобал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Партнер»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Default="00EE3262" w:rsidP="00EE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3262">
              <w:rPr>
                <w:rFonts w:ascii="Arial" w:eastAsia="Times New Roman" w:hAnsi="Arial" w:cs="Arial"/>
                <w:sz w:val="16"/>
                <w:szCs w:val="16"/>
              </w:rPr>
              <w:t>69:39:0070301:153</w:t>
            </w:r>
          </w:p>
          <w:p w:rsidR="00EE3262" w:rsidRPr="006756A9" w:rsidRDefault="00EE3262" w:rsidP="00EE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46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EE3262">
              <w:rPr>
                <w:rFonts w:ascii="Arial" w:eastAsia="Times New Roman" w:hAnsi="Arial" w:cs="Arial"/>
                <w:sz w:val="16"/>
                <w:szCs w:val="16"/>
              </w:rPr>
              <w:t>Тверская область, город Вышний Волочек, участок находится примерно в 50 м по направлению на восток от д.9 по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EE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4688">
              <w:rPr>
                <w:rFonts w:ascii="Arial" w:eastAsia="Times New Roman" w:hAnsi="Arial" w:cs="Arial"/>
                <w:sz w:val="16"/>
                <w:szCs w:val="16"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EE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EE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EE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EE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EE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EE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27681</w:t>
            </w:r>
          </w:p>
        </w:tc>
      </w:tr>
      <w:tr w:rsidR="00105377" w:rsidRPr="006756A9" w:rsidTr="001C0589">
        <w:trPr>
          <w:trHeight w:val="22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ЗАО «Русские Башни»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4688">
              <w:rPr>
                <w:rFonts w:ascii="Arial" w:eastAsia="Times New Roman" w:hAnsi="Arial" w:cs="Arial"/>
                <w:sz w:val="16"/>
                <w:szCs w:val="16"/>
              </w:rPr>
              <w:t>69:39:0250115:226</w:t>
            </w:r>
          </w:p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4688">
              <w:rPr>
                <w:rFonts w:ascii="Arial" w:eastAsia="Times New Roman" w:hAnsi="Arial" w:cs="Arial"/>
                <w:sz w:val="16"/>
                <w:szCs w:val="16"/>
              </w:rPr>
              <w:t>г Вышний Волочек, пер Речной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4688">
              <w:rPr>
                <w:rFonts w:ascii="Arial" w:eastAsia="Times New Roman" w:hAnsi="Arial" w:cs="Arial"/>
                <w:sz w:val="16"/>
                <w:szCs w:val="16"/>
              </w:rPr>
              <w:br/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2776EB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2776EB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27681</w:t>
            </w:r>
          </w:p>
        </w:tc>
      </w:tr>
      <w:tr w:rsidR="006A563F" w:rsidRPr="006756A9" w:rsidTr="001C0589">
        <w:trPr>
          <w:trHeight w:val="22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63F" w:rsidRPr="006756A9" w:rsidRDefault="006A563F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Платинум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63F" w:rsidRDefault="006A563F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4688">
              <w:rPr>
                <w:rFonts w:ascii="Arial" w:eastAsia="Times New Roman" w:hAnsi="Arial" w:cs="Arial"/>
                <w:sz w:val="16"/>
                <w:szCs w:val="16"/>
              </w:rPr>
              <w:t>69:39:0150117:3</w:t>
            </w:r>
          </w:p>
          <w:p w:rsidR="006A563F" w:rsidRPr="006756A9" w:rsidRDefault="006A563F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4688">
              <w:rPr>
                <w:rFonts w:ascii="Arial" w:eastAsia="Times New Roman" w:hAnsi="Arial" w:cs="Arial"/>
                <w:sz w:val="16"/>
                <w:szCs w:val="16"/>
              </w:rPr>
              <w:t xml:space="preserve">Тверская область, г Вышний Волочек, </w:t>
            </w:r>
            <w:proofErr w:type="spellStart"/>
            <w:r w:rsidRPr="009C4688">
              <w:rPr>
                <w:rFonts w:ascii="Arial" w:eastAsia="Times New Roman" w:hAnsi="Arial" w:cs="Arial"/>
                <w:sz w:val="16"/>
                <w:szCs w:val="16"/>
              </w:rPr>
              <w:t>улПодбельского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63F" w:rsidRPr="006756A9" w:rsidRDefault="006A563F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4688">
              <w:rPr>
                <w:rFonts w:ascii="Arial" w:eastAsia="Times New Roman" w:hAnsi="Arial" w:cs="Arial"/>
                <w:sz w:val="16"/>
                <w:szCs w:val="16"/>
              </w:rPr>
              <w:br/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63F" w:rsidRPr="006756A9" w:rsidRDefault="006A563F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63F" w:rsidRPr="006756A9" w:rsidRDefault="006A563F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63F" w:rsidRPr="006756A9" w:rsidRDefault="006A563F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63F" w:rsidRPr="006756A9" w:rsidRDefault="006A563F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63F" w:rsidRPr="006756A9" w:rsidRDefault="002776EB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63F" w:rsidRPr="006756A9" w:rsidRDefault="002776EB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27681</w:t>
            </w:r>
          </w:p>
        </w:tc>
      </w:tr>
    </w:tbl>
    <w:p w:rsidR="00105377" w:rsidRDefault="00105377" w:rsidP="00B9790E">
      <w:pPr>
        <w:pStyle w:val="a4"/>
        <w:spacing w:after="0" w:line="240" w:lineRule="auto"/>
        <w:jc w:val="both"/>
      </w:pPr>
    </w:p>
    <w:p w:rsidR="00105377" w:rsidRPr="006756A9" w:rsidRDefault="00105377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6A9">
        <w:rPr>
          <w:rFonts w:ascii="Times New Roman" w:hAnsi="Times New Roman" w:cs="Times New Roman"/>
          <w:sz w:val="24"/>
          <w:szCs w:val="24"/>
        </w:rPr>
        <w:t>Примеры расчета арендной платы земельных участков по виду разрешенного использования «</w:t>
      </w:r>
      <w:r>
        <w:rPr>
          <w:rFonts w:ascii="Times New Roman" w:hAnsi="Times New Roman" w:cs="Times New Roman"/>
          <w:sz w:val="24"/>
          <w:szCs w:val="24"/>
        </w:rPr>
        <w:t>Связь»</w:t>
      </w:r>
      <w:r w:rsidRPr="006756A9">
        <w:rPr>
          <w:rFonts w:ascii="Times New Roman" w:hAnsi="Times New Roman" w:cs="Times New Roman"/>
          <w:sz w:val="24"/>
          <w:szCs w:val="24"/>
        </w:rPr>
        <w:t xml:space="preserve"> (земли </w:t>
      </w:r>
      <w:r>
        <w:rPr>
          <w:rFonts w:ascii="Times New Roman" w:hAnsi="Times New Roman" w:cs="Times New Roman"/>
          <w:sz w:val="24"/>
          <w:szCs w:val="24"/>
        </w:rPr>
        <w:t>сельс</w:t>
      </w:r>
      <w:r w:rsidRPr="006756A9">
        <w:rPr>
          <w:rFonts w:ascii="Times New Roman" w:hAnsi="Times New Roman" w:cs="Times New Roman"/>
          <w:sz w:val="24"/>
          <w:szCs w:val="24"/>
        </w:rPr>
        <w:t xml:space="preserve">ких населенных </w:t>
      </w:r>
      <w:proofErr w:type="gramStart"/>
      <w:r w:rsidRPr="006756A9">
        <w:rPr>
          <w:rFonts w:ascii="Times New Roman" w:hAnsi="Times New Roman" w:cs="Times New Roman"/>
          <w:sz w:val="24"/>
          <w:szCs w:val="24"/>
        </w:rPr>
        <w:t>пунктов)  из</w:t>
      </w:r>
      <w:proofErr w:type="gramEnd"/>
      <w:r w:rsidRPr="006756A9">
        <w:rPr>
          <w:rFonts w:ascii="Times New Roman" w:hAnsi="Times New Roman" w:cs="Times New Roman"/>
          <w:sz w:val="24"/>
          <w:szCs w:val="24"/>
        </w:rPr>
        <w:t xml:space="preserve"> категории земель - земли населенных </w:t>
      </w:r>
      <w:r>
        <w:rPr>
          <w:rFonts w:ascii="Times New Roman" w:hAnsi="Times New Roman" w:cs="Times New Roman"/>
          <w:sz w:val="24"/>
          <w:szCs w:val="24"/>
        </w:rPr>
        <w:t>пунктов представлены в Таблице 2</w:t>
      </w:r>
    </w:p>
    <w:p w:rsidR="00105377" w:rsidRPr="006756A9" w:rsidRDefault="00105377" w:rsidP="00B9790E">
      <w:pPr>
        <w:pStyle w:val="a4"/>
        <w:tabs>
          <w:tab w:val="left" w:pos="4019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7970F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106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1"/>
        <w:gridCol w:w="2297"/>
        <w:gridCol w:w="1305"/>
        <w:gridCol w:w="1134"/>
        <w:gridCol w:w="851"/>
        <w:gridCol w:w="709"/>
        <w:gridCol w:w="1134"/>
        <w:gridCol w:w="850"/>
        <w:gridCol w:w="1134"/>
      </w:tblGrid>
      <w:tr w:rsidR="00105377" w:rsidRPr="006756A9" w:rsidTr="00360DAC">
        <w:trPr>
          <w:trHeight w:val="19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Наименование арендатора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Объект договора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Площадь земельного участка,          кв.м.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 xml:space="preserve">УП КС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КСЭО в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 xml:space="preserve">Начислено в 2020г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К в 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 xml:space="preserve">Начислено в 2021г </w:t>
            </w:r>
          </w:p>
        </w:tc>
      </w:tr>
      <w:tr w:rsidR="00105377" w:rsidRPr="006756A9" w:rsidTr="00360DAC">
        <w:trPr>
          <w:trHeight w:val="22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377" w:rsidRPr="006756A9" w:rsidTr="00360DAC">
        <w:trPr>
          <w:trHeight w:val="321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77" w:rsidRPr="006756A9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377" w:rsidRPr="006756A9" w:rsidTr="00360DAC">
        <w:trPr>
          <w:trHeight w:val="2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56A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EE3262" w:rsidRPr="006756A9" w:rsidTr="00360DAC">
        <w:trPr>
          <w:trHeight w:val="2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ЗАО «Русские Башни»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Default="00EE3262" w:rsidP="00EE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3262">
              <w:rPr>
                <w:rFonts w:ascii="Arial" w:eastAsia="Times New Roman" w:hAnsi="Arial" w:cs="Arial"/>
                <w:sz w:val="16"/>
                <w:szCs w:val="16"/>
              </w:rPr>
              <w:t>69:06:0180102:242</w:t>
            </w:r>
          </w:p>
          <w:p w:rsidR="00EE3262" w:rsidRPr="006756A9" w:rsidRDefault="00EE3262" w:rsidP="00EE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3262">
              <w:rPr>
                <w:rFonts w:ascii="Arial" w:eastAsia="Times New Roman" w:hAnsi="Arial" w:cs="Arial"/>
                <w:sz w:val="16"/>
                <w:szCs w:val="16"/>
              </w:rPr>
              <w:t xml:space="preserve">Тверская область, Вышневолоцкий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городской округ</w:t>
            </w:r>
            <w:r w:rsidRPr="00EE3262">
              <w:rPr>
                <w:rFonts w:ascii="Arial" w:eastAsia="Times New Roman" w:hAnsi="Arial" w:cs="Arial"/>
                <w:sz w:val="16"/>
                <w:szCs w:val="16"/>
              </w:rPr>
              <w:t xml:space="preserve">, п. </w:t>
            </w:r>
            <w:proofErr w:type="spellStart"/>
            <w:r w:rsidRPr="00EE3262">
              <w:rPr>
                <w:rFonts w:ascii="Arial" w:eastAsia="Times New Roman" w:hAnsi="Arial" w:cs="Arial"/>
                <w:sz w:val="16"/>
                <w:szCs w:val="16"/>
              </w:rPr>
              <w:t>Дорки</w:t>
            </w:r>
            <w:proofErr w:type="spellEnd"/>
            <w:r w:rsidRPr="00EE3262">
              <w:rPr>
                <w:rFonts w:ascii="Arial" w:eastAsia="Times New Roman" w:hAnsi="Arial" w:cs="Arial"/>
                <w:sz w:val="16"/>
                <w:szCs w:val="16"/>
              </w:rPr>
              <w:t>, участок находится примерно в 135 м по направлению на юго-запад от дома 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262" w:rsidRPr="006756A9" w:rsidRDefault="00EE3262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23563</w:t>
            </w:r>
          </w:p>
        </w:tc>
      </w:tr>
      <w:tr w:rsidR="00105377" w:rsidRPr="006756A9" w:rsidTr="00360DAC">
        <w:trPr>
          <w:trHeight w:val="2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105377" w:rsidP="00B3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82A88">
              <w:rPr>
                <w:rFonts w:ascii="Arial" w:eastAsia="Times New Roman" w:hAnsi="Arial" w:cs="Arial"/>
                <w:sz w:val="16"/>
                <w:szCs w:val="16"/>
              </w:rPr>
              <w:t xml:space="preserve">ПАО </w:t>
            </w:r>
            <w:r w:rsidR="00B3551A">
              <w:rPr>
                <w:rFonts w:ascii="Arial" w:eastAsia="Times New Roman" w:hAnsi="Arial" w:cs="Arial"/>
                <w:sz w:val="16"/>
                <w:szCs w:val="16"/>
              </w:rPr>
              <w:t>«</w:t>
            </w:r>
            <w:r w:rsidRPr="00582A88">
              <w:rPr>
                <w:rFonts w:ascii="Arial" w:eastAsia="Times New Roman" w:hAnsi="Arial" w:cs="Arial"/>
                <w:sz w:val="16"/>
                <w:szCs w:val="16"/>
              </w:rPr>
              <w:t>МТС</w:t>
            </w:r>
            <w:r w:rsidR="00B3551A">
              <w:rPr>
                <w:rFonts w:ascii="Arial" w:eastAsia="Times New Roman" w:hAnsi="Arial" w:cs="Arial"/>
                <w:sz w:val="16"/>
                <w:szCs w:val="16"/>
              </w:rPr>
              <w:t>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82A88">
              <w:rPr>
                <w:rFonts w:ascii="Arial" w:eastAsia="Times New Roman" w:hAnsi="Arial" w:cs="Arial"/>
                <w:sz w:val="16"/>
                <w:szCs w:val="16"/>
              </w:rPr>
              <w:t>69:06:0092201:420</w:t>
            </w:r>
          </w:p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82A88">
              <w:rPr>
                <w:rFonts w:ascii="Arial" w:eastAsia="Times New Roman" w:hAnsi="Arial" w:cs="Arial"/>
                <w:sz w:val="16"/>
                <w:szCs w:val="16"/>
              </w:rPr>
              <w:t xml:space="preserve">Солнечное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/п</w:t>
            </w:r>
            <w:r w:rsidRPr="00582A88">
              <w:rPr>
                <w:rFonts w:ascii="Arial" w:eastAsia="Times New Roman" w:hAnsi="Arial" w:cs="Arial"/>
                <w:sz w:val="16"/>
                <w:szCs w:val="16"/>
              </w:rPr>
              <w:t xml:space="preserve">, д. </w:t>
            </w:r>
            <w:proofErr w:type="spellStart"/>
            <w:r w:rsidRPr="00582A88">
              <w:rPr>
                <w:rFonts w:ascii="Arial" w:eastAsia="Times New Roman" w:hAnsi="Arial" w:cs="Arial"/>
                <w:sz w:val="16"/>
                <w:szCs w:val="16"/>
              </w:rPr>
              <w:t>Борисково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2776EB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2776EB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16805</w:t>
            </w:r>
          </w:p>
        </w:tc>
      </w:tr>
      <w:tr w:rsidR="00105377" w:rsidRPr="006756A9" w:rsidTr="00360DAC">
        <w:trPr>
          <w:trHeight w:val="2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360DAC" w:rsidP="00B3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Платинум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DAC" w:rsidRDefault="00360DAC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60DAC">
              <w:rPr>
                <w:rFonts w:ascii="Arial" w:eastAsia="Times New Roman" w:hAnsi="Arial" w:cs="Arial"/>
                <w:sz w:val="16"/>
                <w:szCs w:val="16"/>
              </w:rPr>
              <w:t>69:06:0221401:235</w:t>
            </w:r>
          </w:p>
          <w:p w:rsidR="00105377" w:rsidRPr="006756A9" w:rsidRDefault="00360DAC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60DAC">
              <w:rPr>
                <w:rFonts w:ascii="Arial" w:eastAsia="Times New Roman" w:hAnsi="Arial" w:cs="Arial"/>
                <w:sz w:val="16"/>
                <w:szCs w:val="16"/>
              </w:rPr>
              <w:t>Тверская область, городской округ Вышневолоцкий, деревня Старое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360DAC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360DAC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360DAC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360DAC" w:rsidP="0036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2776EB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7" w:rsidRPr="006756A9" w:rsidRDefault="00360DAC" w:rsidP="0036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13484</w:t>
            </w:r>
          </w:p>
        </w:tc>
      </w:tr>
    </w:tbl>
    <w:p w:rsidR="00C11D47" w:rsidRDefault="00C11D47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377" w:rsidRPr="003A7FBA" w:rsidRDefault="00105377" w:rsidP="00B9790E">
      <w:pPr>
        <w:pStyle w:val="a4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FBA">
        <w:rPr>
          <w:rFonts w:ascii="Times New Roman" w:hAnsi="Times New Roman" w:cs="Times New Roman"/>
          <w:sz w:val="24"/>
          <w:szCs w:val="24"/>
        </w:rPr>
        <w:t xml:space="preserve">Примеры расчета арендной платы земельных участков по виду разрешенного использования «Связь» (земли вне населенных пунктов) из категории земель - земли сельскохозяйственного назначения представлены в Таблице </w:t>
      </w:r>
      <w:r w:rsidR="007970FF">
        <w:rPr>
          <w:rFonts w:ascii="Times New Roman" w:hAnsi="Times New Roman" w:cs="Times New Roman"/>
          <w:sz w:val="24"/>
          <w:szCs w:val="24"/>
        </w:rPr>
        <w:t>3</w:t>
      </w:r>
    </w:p>
    <w:p w:rsidR="00105377" w:rsidRPr="003A7FBA" w:rsidRDefault="00105377" w:rsidP="00B9790E">
      <w:pPr>
        <w:pStyle w:val="a4"/>
        <w:tabs>
          <w:tab w:val="left" w:pos="4019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7FB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7970F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1063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985"/>
        <w:gridCol w:w="1134"/>
        <w:gridCol w:w="567"/>
        <w:gridCol w:w="709"/>
        <w:gridCol w:w="1134"/>
        <w:gridCol w:w="851"/>
        <w:gridCol w:w="1134"/>
      </w:tblGrid>
      <w:tr w:rsidR="00105377" w:rsidRPr="003A7FBA" w:rsidTr="000F642A">
        <w:trPr>
          <w:trHeight w:val="195"/>
        </w:trPr>
        <w:tc>
          <w:tcPr>
            <w:tcW w:w="1281" w:type="dxa"/>
            <w:vMerge w:val="restart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Наименование арендатора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Объект договора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Площадь земельного участка,          кв.м.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 xml:space="preserve">УП КС 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КСЭО в 2020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 xml:space="preserve">Начислено в 2020г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К в 2021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 xml:space="preserve">Начислено в 2021г </w:t>
            </w:r>
          </w:p>
        </w:tc>
      </w:tr>
      <w:tr w:rsidR="00105377" w:rsidRPr="003A7FBA" w:rsidTr="000F642A">
        <w:trPr>
          <w:trHeight w:val="225"/>
        </w:trPr>
        <w:tc>
          <w:tcPr>
            <w:tcW w:w="1281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377" w:rsidRPr="003A7FBA" w:rsidTr="000F642A">
        <w:trPr>
          <w:trHeight w:val="326"/>
        </w:trPr>
        <w:tc>
          <w:tcPr>
            <w:tcW w:w="1281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05377" w:rsidRPr="003A7FBA" w:rsidRDefault="00105377" w:rsidP="00B97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377" w:rsidRPr="003A7FBA" w:rsidTr="000F642A">
        <w:trPr>
          <w:trHeight w:val="225"/>
        </w:trPr>
        <w:tc>
          <w:tcPr>
            <w:tcW w:w="1281" w:type="dxa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105377" w:rsidRPr="00040056" w:rsidTr="000F642A">
        <w:trPr>
          <w:trHeight w:val="225"/>
        </w:trPr>
        <w:tc>
          <w:tcPr>
            <w:tcW w:w="1281" w:type="dxa"/>
            <w:shd w:val="clear" w:color="auto" w:fill="auto"/>
            <w:vAlign w:val="bottom"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ПАО «Мегафон»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69:06:0000000:57</w:t>
            </w:r>
          </w:p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A7FBA">
              <w:rPr>
                <w:rFonts w:ascii="Arial" w:eastAsia="Times New Roman" w:hAnsi="Arial" w:cs="Arial"/>
                <w:sz w:val="16"/>
                <w:szCs w:val="16"/>
              </w:rPr>
              <w:t>Сорокинское</w:t>
            </w:r>
            <w:proofErr w:type="spellEnd"/>
            <w:r w:rsidRPr="003A7FBA">
              <w:rPr>
                <w:rFonts w:ascii="Arial" w:eastAsia="Times New Roman" w:hAnsi="Arial" w:cs="Arial"/>
                <w:sz w:val="16"/>
                <w:szCs w:val="16"/>
              </w:rPr>
              <w:t xml:space="preserve"> с/п 69:06:0000015:202</w:t>
            </w:r>
          </w:p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, с/</w:t>
            </w:r>
            <w:proofErr w:type="spellStart"/>
            <w:r w:rsidRPr="003A7FBA">
              <w:rPr>
                <w:rFonts w:ascii="Arial" w:eastAsia="Times New Roman" w:hAnsi="Arial" w:cs="Arial"/>
                <w:sz w:val="16"/>
                <w:szCs w:val="16"/>
              </w:rPr>
              <w:t>посДятловское</w:t>
            </w:r>
            <w:proofErr w:type="spellEnd"/>
          </w:p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69:06:0000000:38</w:t>
            </w:r>
          </w:p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69:06:0000014:61</w:t>
            </w:r>
          </w:p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A7FBA">
              <w:rPr>
                <w:rFonts w:ascii="Arial" w:eastAsia="Times New Roman" w:hAnsi="Arial" w:cs="Arial"/>
                <w:sz w:val="16"/>
                <w:szCs w:val="16"/>
              </w:rPr>
              <w:t>Овсищенское</w:t>
            </w:r>
            <w:proofErr w:type="spellEnd"/>
            <w:r w:rsidRPr="003A7FBA">
              <w:rPr>
                <w:rFonts w:ascii="Arial" w:eastAsia="Times New Roman" w:hAnsi="Arial" w:cs="Arial"/>
                <w:sz w:val="16"/>
                <w:szCs w:val="16"/>
              </w:rPr>
              <w:t xml:space="preserve"> с/п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Для строительства объекта ВОЛС</w:t>
            </w:r>
          </w:p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61620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3,18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05377" w:rsidRPr="003A7FBA" w:rsidRDefault="00105377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484638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05377" w:rsidRPr="003A7FBA" w:rsidRDefault="00105377" w:rsidP="00B3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FBA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B3551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05377" w:rsidRPr="003A7FBA" w:rsidRDefault="00793BD9" w:rsidP="00B9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476561</w:t>
            </w:r>
          </w:p>
        </w:tc>
      </w:tr>
    </w:tbl>
    <w:p w:rsidR="00DF2C00" w:rsidRDefault="00DF2C00" w:rsidP="00B9790E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056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3C672B" w:rsidRPr="008C2501" w:rsidRDefault="00DF2C00" w:rsidP="00B9790E">
      <w:pPr>
        <w:pStyle w:val="ae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C2501">
        <w:rPr>
          <w:rFonts w:ascii="Times New Roman" w:hAnsi="Times New Roman" w:cs="Times New Roman"/>
          <w:bCs/>
          <w:sz w:val="24"/>
          <w:szCs w:val="24"/>
        </w:rPr>
        <w:t xml:space="preserve">Размер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Вышневолоцкого городского округа в 2021 году </w:t>
      </w:r>
      <w:r w:rsidR="00B9790E" w:rsidRPr="008C2501">
        <w:rPr>
          <w:rFonts w:ascii="Times New Roman" w:hAnsi="Times New Roman" w:cs="Times New Roman"/>
          <w:bCs/>
          <w:sz w:val="24"/>
          <w:szCs w:val="24"/>
        </w:rPr>
        <w:t>увеличится на 54 тыс. руб. по сравнению с размер</w:t>
      </w:r>
      <w:r w:rsidR="00B3551A" w:rsidRPr="008C2501">
        <w:rPr>
          <w:rFonts w:ascii="Times New Roman" w:hAnsi="Times New Roman" w:cs="Times New Roman"/>
          <w:bCs/>
          <w:sz w:val="24"/>
          <w:szCs w:val="24"/>
        </w:rPr>
        <w:t>ом</w:t>
      </w:r>
      <w:r w:rsidR="00B9790E" w:rsidRPr="008C2501">
        <w:rPr>
          <w:rFonts w:ascii="Times New Roman" w:hAnsi="Times New Roman" w:cs="Times New Roman"/>
          <w:bCs/>
          <w:sz w:val="24"/>
          <w:szCs w:val="24"/>
        </w:rPr>
        <w:t xml:space="preserve">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Вышневолоцкого городского округа в</w:t>
      </w:r>
      <w:r w:rsidRPr="008C2501">
        <w:rPr>
          <w:rFonts w:ascii="Times New Roman" w:hAnsi="Times New Roman" w:cs="Times New Roman"/>
          <w:bCs/>
          <w:sz w:val="24"/>
          <w:szCs w:val="24"/>
        </w:rPr>
        <w:t xml:space="preserve"> 2020 год</w:t>
      </w:r>
      <w:r w:rsidR="008C2501">
        <w:rPr>
          <w:rFonts w:ascii="Times New Roman" w:hAnsi="Times New Roman" w:cs="Times New Roman"/>
          <w:bCs/>
          <w:sz w:val="24"/>
          <w:szCs w:val="24"/>
        </w:rPr>
        <w:t>у</w:t>
      </w:r>
      <w:r w:rsidRPr="008C2501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3C672B" w:rsidRPr="008C2501" w:rsidSect="00481CFF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A79A2"/>
    <w:multiLevelType w:val="multilevel"/>
    <w:tmpl w:val="1B981986"/>
    <w:lvl w:ilvl="0">
      <w:start w:val="1"/>
      <w:numFmt w:val="bullet"/>
      <w:lvlText w:val=""/>
      <w:lvlJc w:val="left"/>
      <w:pPr>
        <w:ind w:left="13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1">
    <w:nsid w:val="26AA0121"/>
    <w:multiLevelType w:val="hybridMultilevel"/>
    <w:tmpl w:val="E10AFA8E"/>
    <w:lvl w:ilvl="0" w:tplc="D58045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9251BE"/>
    <w:multiLevelType w:val="multilevel"/>
    <w:tmpl w:val="4F1EC986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295"/>
        </w:tabs>
        <w:ind w:left="3295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4015"/>
        </w:tabs>
        <w:ind w:left="4015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4375"/>
        </w:tabs>
        <w:ind w:left="4375" w:hanging="360"/>
      </w:pPr>
      <w:rPr>
        <w:rFonts w:ascii="Symbol" w:hAnsi="Symbol" w:cs="Symbol" w:hint="default"/>
      </w:rPr>
    </w:lvl>
  </w:abstractNum>
  <w:abstractNum w:abstractNumId="3">
    <w:nsid w:val="41B20C12"/>
    <w:multiLevelType w:val="multilevel"/>
    <w:tmpl w:val="96BADB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FB52643"/>
    <w:multiLevelType w:val="multilevel"/>
    <w:tmpl w:val="2A1A73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EA596D"/>
    <w:multiLevelType w:val="hybridMultilevel"/>
    <w:tmpl w:val="2276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E8"/>
    <w:rsid w:val="00036E2E"/>
    <w:rsid w:val="000640A7"/>
    <w:rsid w:val="0009432D"/>
    <w:rsid w:val="00096FA1"/>
    <w:rsid w:val="000C7123"/>
    <w:rsid w:val="000D7A47"/>
    <w:rsid w:val="000F642A"/>
    <w:rsid w:val="00105377"/>
    <w:rsid w:val="00126DB2"/>
    <w:rsid w:val="001A37C8"/>
    <w:rsid w:val="001C0589"/>
    <w:rsid w:val="001D0486"/>
    <w:rsid w:val="001D1B48"/>
    <w:rsid w:val="001D655F"/>
    <w:rsid w:val="002776EB"/>
    <w:rsid w:val="002A40B4"/>
    <w:rsid w:val="002B15FA"/>
    <w:rsid w:val="0032246E"/>
    <w:rsid w:val="00346122"/>
    <w:rsid w:val="00360DAC"/>
    <w:rsid w:val="00390E6F"/>
    <w:rsid w:val="00391360"/>
    <w:rsid w:val="00391C31"/>
    <w:rsid w:val="003C672B"/>
    <w:rsid w:val="003E1C15"/>
    <w:rsid w:val="00481CFF"/>
    <w:rsid w:val="00487B3C"/>
    <w:rsid w:val="004D6B9D"/>
    <w:rsid w:val="00590114"/>
    <w:rsid w:val="00594742"/>
    <w:rsid w:val="005A40C4"/>
    <w:rsid w:val="005D5364"/>
    <w:rsid w:val="00632EFD"/>
    <w:rsid w:val="006362D6"/>
    <w:rsid w:val="00645B64"/>
    <w:rsid w:val="00673CC8"/>
    <w:rsid w:val="006840FB"/>
    <w:rsid w:val="006A563F"/>
    <w:rsid w:val="006C0205"/>
    <w:rsid w:val="006D3DF3"/>
    <w:rsid w:val="006F13BA"/>
    <w:rsid w:val="006F7F57"/>
    <w:rsid w:val="007002A5"/>
    <w:rsid w:val="00710392"/>
    <w:rsid w:val="00793BD9"/>
    <w:rsid w:val="007970FF"/>
    <w:rsid w:val="007F727E"/>
    <w:rsid w:val="00812C42"/>
    <w:rsid w:val="008250BD"/>
    <w:rsid w:val="00866C8A"/>
    <w:rsid w:val="008B330D"/>
    <w:rsid w:val="008C2501"/>
    <w:rsid w:val="0090690C"/>
    <w:rsid w:val="009233E8"/>
    <w:rsid w:val="00930124"/>
    <w:rsid w:val="009376DC"/>
    <w:rsid w:val="00976BAF"/>
    <w:rsid w:val="009862E1"/>
    <w:rsid w:val="009B4C1C"/>
    <w:rsid w:val="009C3D64"/>
    <w:rsid w:val="009C5D4F"/>
    <w:rsid w:val="00AC6C92"/>
    <w:rsid w:val="00AE1018"/>
    <w:rsid w:val="00B263E8"/>
    <w:rsid w:val="00B3551A"/>
    <w:rsid w:val="00B971D6"/>
    <w:rsid w:val="00B9790E"/>
    <w:rsid w:val="00BE1C69"/>
    <w:rsid w:val="00C11D47"/>
    <w:rsid w:val="00C31078"/>
    <w:rsid w:val="00C44394"/>
    <w:rsid w:val="00C5270A"/>
    <w:rsid w:val="00CB0600"/>
    <w:rsid w:val="00CD289F"/>
    <w:rsid w:val="00D340D9"/>
    <w:rsid w:val="00D607E2"/>
    <w:rsid w:val="00D64BC1"/>
    <w:rsid w:val="00D80E7E"/>
    <w:rsid w:val="00D84EEE"/>
    <w:rsid w:val="00D93261"/>
    <w:rsid w:val="00DE3E41"/>
    <w:rsid w:val="00DF2C00"/>
    <w:rsid w:val="00E07B46"/>
    <w:rsid w:val="00E60A27"/>
    <w:rsid w:val="00EE3262"/>
    <w:rsid w:val="00F21320"/>
    <w:rsid w:val="00F65E87"/>
    <w:rsid w:val="00FC6862"/>
    <w:rsid w:val="00FF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0BAFD-10DD-46A7-9214-0C5FE865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46"/>
  </w:style>
  <w:style w:type="paragraph" w:styleId="1">
    <w:name w:val="heading 1"/>
    <w:basedOn w:val="a"/>
    <w:link w:val="10"/>
    <w:uiPriority w:val="9"/>
    <w:qFormat/>
    <w:rsid w:val="00C31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3E8"/>
    <w:pPr>
      <w:ind w:left="720"/>
      <w:contextualSpacing/>
    </w:pPr>
  </w:style>
  <w:style w:type="paragraph" w:customStyle="1" w:styleId="a4">
    <w:name w:val="Базовый"/>
    <w:rsid w:val="00036E2E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character" w:customStyle="1" w:styleId="a5">
    <w:name w:val="Текст выноски Знак"/>
    <w:basedOn w:val="a0"/>
    <w:rsid w:val="0010537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rsid w:val="00105377"/>
    <w:rPr>
      <w:color w:val="808080"/>
    </w:rPr>
  </w:style>
  <w:style w:type="character" w:customStyle="1" w:styleId="ListLabel1">
    <w:name w:val="ListLabel 1"/>
    <w:rsid w:val="00105377"/>
    <w:rPr>
      <w:rFonts w:cs="Symbol"/>
    </w:rPr>
  </w:style>
  <w:style w:type="character" w:customStyle="1" w:styleId="ListLabel2">
    <w:name w:val="ListLabel 2"/>
    <w:rsid w:val="00105377"/>
    <w:rPr>
      <w:rFonts w:cs="Courier New"/>
    </w:rPr>
  </w:style>
  <w:style w:type="character" w:customStyle="1" w:styleId="ListLabel3">
    <w:name w:val="ListLabel 3"/>
    <w:rsid w:val="00105377"/>
    <w:rPr>
      <w:rFonts w:cs="Wingdings"/>
    </w:rPr>
  </w:style>
  <w:style w:type="character" w:customStyle="1" w:styleId="a7">
    <w:name w:val="Маркеры списка"/>
    <w:rsid w:val="00105377"/>
    <w:rPr>
      <w:rFonts w:ascii="OpenSymbol" w:eastAsia="OpenSymbol" w:hAnsi="OpenSymbol" w:cs="OpenSymbol"/>
    </w:rPr>
  </w:style>
  <w:style w:type="paragraph" w:customStyle="1" w:styleId="11">
    <w:name w:val="Заголовок1"/>
    <w:basedOn w:val="a4"/>
    <w:next w:val="a8"/>
    <w:rsid w:val="001053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4"/>
    <w:link w:val="a9"/>
    <w:rsid w:val="00105377"/>
    <w:pPr>
      <w:spacing w:after="120"/>
    </w:pPr>
  </w:style>
  <w:style w:type="character" w:customStyle="1" w:styleId="a9">
    <w:name w:val="Основной текст Знак"/>
    <w:basedOn w:val="a0"/>
    <w:link w:val="a8"/>
    <w:rsid w:val="00105377"/>
    <w:rPr>
      <w:rFonts w:ascii="Calibri" w:eastAsia="Times New Roman" w:hAnsi="Calibri" w:cs="Calibri"/>
    </w:rPr>
  </w:style>
  <w:style w:type="paragraph" w:styleId="aa">
    <w:name w:val="List"/>
    <w:basedOn w:val="a8"/>
    <w:rsid w:val="00105377"/>
    <w:rPr>
      <w:rFonts w:cs="Mangal"/>
    </w:rPr>
  </w:style>
  <w:style w:type="paragraph" w:styleId="ab">
    <w:name w:val="Title"/>
    <w:basedOn w:val="a4"/>
    <w:link w:val="ac"/>
    <w:rsid w:val="0010537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105377"/>
    <w:rPr>
      <w:rFonts w:ascii="Calibri" w:eastAsia="Times New Roman" w:hAnsi="Calibri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105377"/>
    <w:pPr>
      <w:spacing w:after="0" w:line="240" w:lineRule="auto"/>
      <w:ind w:left="220" w:hanging="220"/>
    </w:pPr>
  </w:style>
  <w:style w:type="paragraph" w:styleId="ad">
    <w:name w:val="index heading"/>
    <w:basedOn w:val="a4"/>
    <w:rsid w:val="00105377"/>
    <w:pPr>
      <w:suppressLineNumbers/>
    </w:pPr>
    <w:rPr>
      <w:rFonts w:cs="Mangal"/>
    </w:rPr>
  </w:style>
  <w:style w:type="paragraph" w:styleId="ae">
    <w:name w:val="Balloon Text"/>
    <w:basedOn w:val="a4"/>
    <w:link w:val="13"/>
    <w:rsid w:val="00105377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e"/>
    <w:rsid w:val="00105377"/>
    <w:rPr>
      <w:rFonts w:ascii="Tahoma" w:eastAsia="Times New Roman" w:hAnsi="Tahoma" w:cs="Tahoma"/>
      <w:sz w:val="16"/>
      <w:szCs w:val="16"/>
    </w:rPr>
  </w:style>
  <w:style w:type="paragraph" w:customStyle="1" w:styleId="af">
    <w:name w:val="Содержимое врезки"/>
    <w:basedOn w:val="a8"/>
    <w:rsid w:val="00105377"/>
  </w:style>
  <w:style w:type="character" w:styleId="af0">
    <w:name w:val="Strong"/>
    <w:uiPriority w:val="22"/>
    <w:qFormat/>
    <w:rsid w:val="00105377"/>
    <w:rPr>
      <w:b/>
      <w:bCs/>
    </w:rPr>
  </w:style>
  <w:style w:type="character" w:customStyle="1" w:styleId="af1">
    <w:name w:val="Гипертекстовая ссылка"/>
    <w:basedOn w:val="a0"/>
    <w:uiPriority w:val="99"/>
    <w:rsid w:val="0010537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31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C31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2">
    <w:name w:val="Hyperlink"/>
    <w:basedOn w:val="a0"/>
    <w:rsid w:val="00C31078"/>
    <w:rPr>
      <w:color w:val="0066CC"/>
      <w:u w:val="single"/>
    </w:rPr>
  </w:style>
  <w:style w:type="paragraph" w:customStyle="1" w:styleId="pboth">
    <w:name w:val="pboth"/>
    <w:basedOn w:val="a"/>
    <w:rsid w:val="00C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7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Normal (Web)"/>
    <w:basedOn w:val="a"/>
    <w:uiPriority w:val="99"/>
    <w:semiHidden/>
    <w:unhideWhenUsed/>
    <w:rsid w:val="00D6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wercase">
    <w:name w:val="lowercase"/>
    <w:basedOn w:val="a0"/>
    <w:rsid w:val="00FF570D"/>
  </w:style>
  <w:style w:type="paragraph" w:customStyle="1" w:styleId="af4">
    <w:name w:val="Таблица"/>
    <w:basedOn w:val="af5"/>
    <w:rsid w:val="003913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f5">
    <w:name w:val="Message Header"/>
    <w:basedOn w:val="a"/>
    <w:link w:val="af6"/>
    <w:uiPriority w:val="99"/>
    <w:semiHidden/>
    <w:unhideWhenUsed/>
    <w:rsid w:val="003913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Шапка Знак"/>
    <w:basedOn w:val="a0"/>
    <w:link w:val="af5"/>
    <w:uiPriority w:val="99"/>
    <w:semiHidden/>
    <w:rsid w:val="00391360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20849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8101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8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970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2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5365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7105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0600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255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2D1D1"/>
                        <w:right w:val="none" w:sz="0" w:space="0" w:color="auto"/>
                      </w:divBdr>
                      <w:divsChild>
                        <w:div w:id="10346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597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20483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8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2692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30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570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2D1D1"/>
                        <w:right w:val="none" w:sz="0" w:space="0" w:color="auto"/>
                      </w:divBdr>
                      <w:divsChild>
                        <w:div w:id="12720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3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2D1D1"/>
                    <w:right w:val="none" w:sz="0" w:space="0" w:color="auto"/>
                  </w:divBdr>
                  <w:divsChild>
                    <w:div w:id="10532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0706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6400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1111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21403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2883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1076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4369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8980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3687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50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6732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6351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2D1D1"/>
                        <w:right w:val="none" w:sz="0" w:space="0" w:color="auto"/>
                      </w:divBdr>
                      <w:divsChild>
                        <w:div w:id="4278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658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4737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9DC06A704C8B93FD84BFCBB2FD04FE4F4027E91E03ED6F3327EB8E12DD307B659782625922309911DF65608yESAO" TargetMode="External"/><Relationship Id="rId13" Type="http://schemas.openxmlformats.org/officeDocument/2006/relationships/hyperlink" Target="https://legalacts.ru/kodeks/ZK-RF/glava-v.1/statja-39.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B9DC06A704C8B93FD84BFCBB2FD04FE4F4027E91E03ED6F3327EB8E12DD307A459202A24973D089508A0074EBE17BF329A7C4280971EB1y2SBO" TargetMode="External"/><Relationship Id="rId12" Type="http://schemas.openxmlformats.org/officeDocument/2006/relationships/hyperlink" Target="https://legalacts.ru/kodeks/ZK-RF/glava-v.1/statja-39.7/" TargetMode="External"/><Relationship Id="rId17" Type="http://schemas.openxmlformats.org/officeDocument/2006/relationships/hyperlink" Target="https://pb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rbc.ru/news/5fa59a8c7a8aa95ec67b6fc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B9DC06A704C8B93FD84BFCBB2FD04FE4F4027E91E03ED6F3327EB8E12DD307A459202A24973D089508A0074EBE17BF329A7C4280971EB1y2SBO" TargetMode="External"/><Relationship Id="rId11" Type="http://schemas.openxmlformats.org/officeDocument/2006/relationships/hyperlink" Target="https://legalacts.ru/kodeks/ZK-RF/glava-viii/statja-57/" TargetMode="External"/><Relationship Id="rId5" Type="http://schemas.openxmlformats.org/officeDocument/2006/relationships/hyperlink" Target="consultantplus://offline/ref=9BB9DC06A704C8B93FD84BFCBB2FD04FE4F7017C9BEE3ED6F3327EB8E12DD307A459202E2594365DC647A15B0BEE04BE319A7E449Cy9S4O" TargetMode="External"/><Relationship Id="rId15" Type="http://schemas.openxmlformats.org/officeDocument/2006/relationships/hyperlink" Target="https://login.consultant.ru/link/?req=doc&amp;base=RZR&amp;n=375839&amp;date=18.06.2021&amp;dst=150522&amp;fld=134" TargetMode="External"/><Relationship Id="rId10" Type="http://schemas.openxmlformats.org/officeDocument/2006/relationships/hyperlink" Target="https://legalacts.ru/kodeks/ZK-RF/glava-v.1/statja-39.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B9DC06A704C8B93FD84BFCBB2FD04FE4F7017C9BEE3ED6F3327EB8E12DD307A459202E2594365DC647A15B0BEE04BE319A7E449Cy9S4O" TargetMode="External"/><Relationship Id="rId14" Type="http://schemas.openxmlformats.org/officeDocument/2006/relationships/hyperlink" Target="consultantplus://offline/ref=9BB9DC06A704C8B93FD84BFCBB2FD04FE4F7017C9BEE3ED6F3327EB8E12DD307A459202E2591365DC647A15B0BEE04BE319A7E449Cy9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</dc:creator>
  <cp:keywords/>
  <dc:description/>
  <cp:lastModifiedBy>Светлана Антонова</cp:lastModifiedBy>
  <cp:revision>9</cp:revision>
  <cp:lastPrinted>2021-07-20T10:43:00Z</cp:lastPrinted>
  <dcterms:created xsi:type="dcterms:W3CDTF">2021-07-05T13:11:00Z</dcterms:created>
  <dcterms:modified xsi:type="dcterms:W3CDTF">2021-07-20T10:43:00Z</dcterms:modified>
</cp:coreProperties>
</file>